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jc w:val="both"/>
        <w:textAlignment w:val="auto"/>
        <w:rPr>
          <w:rFonts w:eastAsia="黑体"/>
          <w:kern w:val="2"/>
          <w:sz w:val="32"/>
          <w:szCs w:val="32"/>
          <w:lang w:eastAsia="zh-CN"/>
        </w:rPr>
      </w:pPr>
      <w:r>
        <w:rPr>
          <w:rFonts w:eastAsia="黑体"/>
          <w:kern w:val="2"/>
          <w:sz w:val="32"/>
          <w:szCs w:val="32"/>
          <w:lang w:eastAsia="zh-CN"/>
        </w:rPr>
        <w:t>附件</w:t>
      </w:r>
      <w:r>
        <w:rPr>
          <w:rFonts w:hint="eastAsia" w:eastAsia="黑体"/>
          <w:kern w:val="2"/>
          <w:sz w:val="32"/>
          <w:szCs w:val="32"/>
          <w:lang w:eastAsia="zh-CN"/>
        </w:rPr>
        <w:t>4</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jc w:val="both"/>
        <w:textAlignment w:val="auto"/>
        <w:rPr>
          <w:rFonts w:eastAsia="方正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right="0" w:firstLine="0" w:firstLineChars="0"/>
        <w:jc w:val="center"/>
        <w:textAlignment w:val="auto"/>
        <w:rPr>
          <w:rFonts w:hint="eastAsia" w:eastAsia="方正小标宋简体"/>
          <w:kern w:val="2"/>
          <w:sz w:val="44"/>
          <w:szCs w:val="44"/>
          <w:lang w:eastAsia="zh-CN"/>
        </w:rPr>
      </w:pPr>
      <w:r>
        <w:rPr>
          <w:rFonts w:eastAsia="方正小标宋简体"/>
          <w:kern w:val="2"/>
          <w:sz w:val="44"/>
          <w:szCs w:val="44"/>
          <w:lang w:eastAsia="zh-CN"/>
        </w:rPr>
        <w:t>广东省残疾儿童少年</w:t>
      </w:r>
      <w:r>
        <w:rPr>
          <w:rFonts w:hint="eastAsia" w:eastAsia="方正小标宋简体"/>
          <w:kern w:val="2"/>
          <w:sz w:val="44"/>
          <w:szCs w:val="44"/>
          <w:lang w:eastAsia="zh-CN"/>
        </w:rPr>
        <w:t>随班就读基地学校</w:t>
      </w:r>
    </w:p>
    <w:p>
      <w:pPr>
        <w:keepNext w:val="0"/>
        <w:keepLines w:val="0"/>
        <w:pageBreakBefore w:val="0"/>
        <w:kinsoku/>
        <w:wordWrap/>
        <w:overflowPunct/>
        <w:topLinePunct w:val="0"/>
        <w:autoSpaceDE/>
        <w:autoSpaceDN/>
        <w:bidi w:val="0"/>
        <w:adjustRightInd/>
        <w:snapToGrid/>
        <w:spacing w:before="0" w:beforeLines="0" w:after="0" w:afterLines="0" w:line="640" w:lineRule="exact"/>
        <w:ind w:left="0" w:right="0" w:firstLine="880" w:firstLineChars="200"/>
        <w:jc w:val="center"/>
        <w:textAlignment w:val="auto"/>
        <w:rPr>
          <w:rFonts w:eastAsia="方正小标宋简体"/>
          <w:kern w:val="2"/>
          <w:sz w:val="44"/>
          <w:szCs w:val="44"/>
          <w:lang w:eastAsia="zh-CN"/>
        </w:rPr>
      </w:pPr>
      <w:r>
        <w:rPr>
          <w:rFonts w:eastAsia="方正小标宋简体"/>
          <w:kern w:val="2"/>
          <w:sz w:val="44"/>
          <w:szCs w:val="44"/>
          <w:lang w:eastAsia="zh-CN"/>
        </w:rPr>
        <w:t>建设指南</w:t>
      </w:r>
      <w:r>
        <w:rPr>
          <w:rFonts w:hint="eastAsia" w:eastAsia="方正小标宋简体"/>
          <w:kern w:val="2"/>
          <w:sz w:val="44"/>
          <w:szCs w:val="44"/>
          <w:lang w:eastAsia="zh-CN"/>
        </w:rPr>
        <w:t>（</w:t>
      </w:r>
      <w:r>
        <w:rPr>
          <w:rFonts w:eastAsia="方正小标宋简体"/>
          <w:kern w:val="2"/>
          <w:sz w:val="44"/>
          <w:szCs w:val="44"/>
          <w:lang w:eastAsia="zh-CN"/>
        </w:rPr>
        <w:t>试行</w:t>
      </w:r>
      <w:r>
        <w:rPr>
          <w:rFonts w:hint="eastAsia" w:eastAsia="方正小标宋简体"/>
          <w:kern w:val="2"/>
          <w:sz w:val="44"/>
          <w:szCs w:val="44"/>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jc w:val="both"/>
        <w:textAlignment w:val="auto"/>
        <w:rPr>
          <w:rFonts w:eastAsia="方正仿宋_GB2312"/>
          <w:kern w:val="2"/>
          <w:sz w:val="32"/>
          <w:szCs w:val="32"/>
          <w:lang w:eastAsia="zh-CN"/>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outlineLvl w:val="0"/>
        <w:rPr>
          <w:rFonts w:eastAsia="黑体"/>
          <w:kern w:val="2"/>
          <w:sz w:val="32"/>
          <w:szCs w:val="32"/>
          <w:lang w:eastAsia="zh-CN"/>
        </w:rPr>
      </w:pPr>
      <w:r>
        <w:rPr>
          <w:rFonts w:eastAsia="黑体"/>
          <w:kern w:val="2"/>
          <w:sz w:val="32"/>
          <w:szCs w:val="32"/>
          <w:lang w:eastAsia="zh-CN"/>
        </w:rPr>
        <w:t>一、建设依据</w:t>
      </w:r>
      <w:bookmarkStart w:id="0" w:name="_GoBack"/>
      <w:bookmarkEnd w:id="0"/>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方正仿宋_GB2312"/>
          <w:kern w:val="2"/>
          <w:sz w:val="32"/>
          <w:szCs w:val="32"/>
          <w:lang w:eastAsia="zh-CN"/>
        </w:rPr>
      </w:pPr>
      <w:r>
        <w:rPr>
          <w:rFonts w:eastAsia="仿宋_GB2312"/>
          <w:kern w:val="2"/>
          <w:sz w:val="32"/>
          <w:szCs w:val="32"/>
          <w:lang w:eastAsia="zh-CN"/>
        </w:rPr>
        <w:t>为更好地推进残疾儿童少年随班就读，完善普通学校随班就读支持保障体系，提高残疾学生教育教学质量，依据《残疾人教育条例》《教育部关于加强残疾儿童少年义务教育阶段随班就读工作的指导意见》</w:t>
      </w:r>
      <w:r>
        <w:rPr>
          <w:rFonts w:hint="eastAsia" w:eastAsia="仿宋_GB2312"/>
          <w:kern w:val="2"/>
          <w:sz w:val="32"/>
          <w:szCs w:val="32"/>
          <w:lang w:eastAsia="zh-CN"/>
        </w:rPr>
        <w:t>（</w:t>
      </w:r>
      <w:r>
        <w:rPr>
          <w:rFonts w:eastAsia="仿宋_GB2312"/>
          <w:kern w:val="2"/>
          <w:sz w:val="32"/>
          <w:szCs w:val="32"/>
          <w:lang w:eastAsia="zh-CN"/>
        </w:rPr>
        <w:t>教基〔2020〕4号</w:t>
      </w:r>
      <w:r>
        <w:rPr>
          <w:rFonts w:hint="eastAsia" w:eastAsia="仿宋_GB2312"/>
          <w:kern w:val="2"/>
          <w:sz w:val="32"/>
          <w:szCs w:val="32"/>
          <w:lang w:eastAsia="zh-CN"/>
        </w:rPr>
        <w:t>）</w:t>
      </w:r>
      <w:r>
        <w:rPr>
          <w:rFonts w:eastAsia="仿宋_GB2312"/>
          <w:kern w:val="2"/>
          <w:sz w:val="32"/>
          <w:szCs w:val="32"/>
          <w:lang w:eastAsia="zh-CN"/>
        </w:rPr>
        <w:t>《广东省教育厅等八部门关于印发&lt;关于加强残疾儿童少年义务教育阶段随班就读工作的实施细则</w:t>
      </w:r>
      <w:r>
        <w:rPr>
          <w:rFonts w:hint="eastAsia" w:eastAsia="仿宋_GB2312"/>
          <w:kern w:val="2"/>
          <w:sz w:val="32"/>
          <w:szCs w:val="32"/>
          <w:lang w:eastAsia="zh-CN"/>
        </w:rPr>
        <w:t>（</w:t>
      </w:r>
      <w:r>
        <w:rPr>
          <w:rFonts w:eastAsia="仿宋_GB2312"/>
          <w:kern w:val="2"/>
          <w:sz w:val="32"/>
          <w:szCs w:val="32"/>
          <w:lang w:eastAsia="zh-CN"/>
        </w:rPr>
        <w:t>试行</w:t>
      </w:r>
      <w:r>
        <w:rPr>
          <w:rFonts w:hint="eastAsia" w:eastAsia="仿宋_GB2312"/>
          <w:kern w:val="2"/>
          <w:sz w:val="32"/>
          <w:szCs w:val="32"/>
          <w:lang w:eastAsia="zh-CN"/>
        </w:rPr>
        <w:t>）</w:t>
      </w:r>
      <w:r>
        <w:rPr>
          <w:rFonts w:eastAsia="仿宋_GB2312"/>
          <w:kern w:val="2"/>
          <w:sz w:val="32"/>
          <w:szCs w:val="32"/>
          <w:lang w:eastAsia="zh-CN"/>
        </w:rPr>
        <w:t>&gt;的通知》</w:t>
      </w:r>
      <w:r>
        <w:rPr>
          <w:rFonts w:hint="eastAsia" w:eastAsia="仿宋_GB2312"/>
          <w:kern w:val="2"/>
          <w:sz w:val="32"/>
          <w:szCs w:val="32"/>
          <w:lang w:eastAsia="zh-CN"/>
        </w:rPr>
        <w:t>（</w:t>
      </w:r>
      <w:r>
        <w:rPr>
          <w:rFonts w:eastAsia="仿宋_GB2312"/>
          <w:kern w:val="2"/>
          <w:sz w:val="32"/>
          <w:szCs w:val="32"/>
          <w:lang w:eastAsia="zh-CN"/>
        </w:rPr>
        <w:t>粤教基〔2020〕29号</w:t>
      </w:r>
      <w:r>
        <w:rPr>
          <w:rFonts w:hint="eastAsia" w:eastAsia="仿宋_GB2312"/>
          <w:kern w:val="2"/>
          <w:sz w:val="32"/>
          <w:szCs w:val="32"/>
          <w:lang w:eastAsia="zh-CN"/>
        </w:rPr>
        <w:t>）</w:t>
      </w:r>
      <w:r>
        <w:rPr>
          <w:rFonts w:eastAsia="仿宋_GB2312"/>
          <w:kern w:val="2"/>
          <w:sz w:val="32"/>
          <w:szCs w:val="32"/>
          <w:lang w:eastAsia="zh-CN"/>
        </w:rPr>
        <w:t>和《广东省教育厅等八部门关于印发&lt;广东省促进特殊教育公平融合发展行动方案的通知&gt;》</w:t>
      </w:r>
      <w:r>
        <w:rPr>
          <w:rFonts w:hint="eastAsia" w:eastAsia="仿宋_GB2312"/>
          <w:kern w:val="2"/>
          <w:sz w:val="32"/>
          <w:szCs w:val="32"/>
          <w:lang w:eastAsia="zh-CN"/>
        </w:rPr>
        <w:t>（</w:t>
      </w:r>
      <w:r>
        <w:rPr>
          <w:rFonts w:eastAsia="仿宋_GB2312"/>
          <w:kern w:val="2"/>
          <w:sz w:val="32"/>
          <w:szCs w:val="32"/>
          <w:lang w:eastAsia="zh-CN"/>
        </w:rPr>
        <w:t>粤教基2019〔2019〕30号</w:t>
      </w:r>
      <w:r>
        <w:rPr>
          <w:rFonts w:hint="eastAsia" w:eastAsia="仿宋_GB2312"/>
          <w:kern w:val="2"/>
          <w:sz w:val="32"/>
          <w:szCs w:val="32"/>
          <w:lang w:eastAsia="zh-CN"/>
        </w:rPr>
        <w:t>）</w:t>
      </w:r>
      <w:r>
        <w:rPr>
          <w:rFonts w:eastAsia="仿宋_GB2312"/>
          <w:kern w:val="2"/>
          <w:sz w:val="32"/>
          <w:szCs w:val="32"/>
          <w:lang w:eastAsia="zh-CN"/>
        </w:rPr>
        <w:t>的要求制定本建设指南。</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outlineLvl w:val="0"/>
        <w:rPr>
          <w:rFonts w:eastAsia="方正仿宋_GB2312"/>
          <w:kern w:val="2"/>
          <w:sz w:val="32"/>
          <w:szCs w:val="32"/>
          <w:lang w:eastAsia="zh-CN"/>
        </w:rPr>
      </w:pPr>
      <w:r>
        <w:rPr>
          <w:rFonts w:eastAsia="黑体"/>
          <w:kern w:val="2"/>
          <w:sz w:val="32"/>
          <w:szCs w:val="32"/>
          <w:lang w:eastAsia="zh-CN"/>
        </w:rPr>
        <w:t>二、建设目标</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方正仿宋_GB2312"/>
          <w:kern w:val="2"/>
          <w:sz w:val="32"/>
          <w:szCs w:val="32"/>
          <w:lang w:eastAsia="zh-CN"/>
        </w:rPr>
      </w:pPr>
      <w:r>
        <w:rPr>
          <w:rFonts w:eastAsia="仿宋_GB2312"/>
          <w:kern w:val="2"/>
          <w:sz w:val="32"/>
          <w:szCs w:val="32"/>
          <w:lang w:eastAsia="zh-CN"/>
        </w:rPr>
        <w:t>落实教育部《关于加强残疾儿童少年义务教育阶段随班就读工作的指导意见》,遵循残疾学生的身心特点和学习规律，制订并落实个别化教育教学方案，注重课程教学调适，合理调整课程教学内容，科学转化教学方式，提高对随班就读残疾学生教育的适宜性和有效性。探索建立科学的评价制度，实施残疾学生个别化发展性评价，突出对社会适应能力培养、心理生理矫正补偿和劳动技能等方面的综合评价。加强融合校园文化和资源教室建设，建立资源教师、巡回指导教师介入、学生个别辅导等方面保障制度和工作机制，支持随班就读工作见实效。建立特教学校与普通学校、特教教师与普教教师、残疾学生家长与普通家长交流沟通机制和残疾学生与普通学生之间的同伴互助制度，合力营造和谐、包容、接纳的融合教育育人环境。</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outlineLvl w:val="0"/>
        <w:rPr>
          <w:rFonts w:eastAsia="方正仿宋_GB2312"/>
          <w:kern w:val="2"/>
          <w:sz w:val="32"/>
          <w:szCs w:val="32"/>
          <w:lang w:eastAsia="zh-CN"/>
        </w:rPr>
      </w:pPr>
      <w:r>
        <w:rPr>
          <w:rFonts w:eastAsia="黑体"/>
          <w:kern w:val="2"/>
          <w:sz w:val="32"/>
          <w:szCs w:val="32"/>
          <w:lang w:eastAsia="zh-CN"/>
        </w:rPr>
        <w:t>三、建设内容</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outlineLvl w:val="1"/>
        <w:rPr>
          <w:rFonts w:eastAsia="方正仿宋_GB2312"/>
          <w:kern w:val="2"/>
          <w:sz w:val="32"/>
          <w:szCs w:val="32"/>
          <w:lang w:eastAsia="zh-CN"/>
        </w:rPr>
      </w:pPr>
      <w:r>
        <w:rPr>
          <w:rFonts w:hint="eastAsia" w:eastAsia="楷体_GB2312"/>
          <w:kern w:val="2"/>
          <w:sz w:val="32"/>
          <w:szCs w:val="32"/>
          <w:lang w:eastAsia="zh-CN"/>
        </w:rPr>
        <w:t>（</w:t>
      </w:r>
      <w:r>
        <w:rPr>
          <w:rFonts w:eastAsia="楷体_GB2312"/>
          <w:kern w:val="2"/>
          <w:sz w:val="32"/>
          <w:szCs w:val="32"/>
          <w:lang w:eastAsia="zh-CN"/>
        </w:rPr>
        <w:t>一</w:t>
      </w:r>
      <w:r>
        <w:rPr>
          <w:rFonts w:hint="eastAsia" w:eastAsia="楷体_GB2312"/>
          <w:kern w:val="2"/>
          <w:sz w:val="32"/>
          <w:szCs w:val="32"/>
          <w:lang w:eastAsia="zh-CN"/>
        </w:rPr>
        <w:t>）</w:t>
      </w:r>
      <w:r>
        <w:rPr>
          <w:rFonts w:eastAsia="楷体_GB2312"/>
          <w:kern w:val="2"/>
          <w:sz w:val="32"/>
          <w:szCs w:val="32"/>
          <w:lang w:eastAsia="zh-CN"/>
        </w:rPr>
        <w:t>组织管理</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1.组织建设合理。学校建立由校长任组长，分管副校长、中层干部、班主任、任课教师、资源教师、心理健康教师、校医等人员组成且分工明确的随班就读工作小组，健全教师考核方案等相关制度。将随班就读工作纳入学校整体发展规划，制定学期专项工作计划，每月召开一次会议，视情况及时开展平日会议，做好总结反思工作。</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2.学生管理合规。学校按规定向特殊教育资源中心做好随班就读对象的认定申报或撤销工作</w:t>
      </w:r>
      <w:r>
        <w:rPr>
          <w:rFonts w:hint="eastAsia" w:eastAsia="仿宋_GB2312"/>
          <w:kern w:val="2"/>
          <w:sz w:val="32"/>
          <w:szCs w:val="32"/>
          <w:lang w:eastAsia="zh-CN"/>
        </w:rPr>
        <w:t>；</w:t>
      </w:r>
      <w:r>
        <w:rPr>
          <w:rFonts w:eastAsia="仿宋_GB2312"/>
          <w:kern w:val="2"/>
          <w:sz w:val="32"/>
          <w:szCs w:val="32"/>
          <w:lang w:eastAsia="zh-CN"/>
        </w:rPr>
        <w:t>学校根据随班就读学生的实际情况进行合理编班，每班以1至2人为宜，最多不超过3人，并适当缩减班额。普通学校开设特教班的，原则上每班不超过9人。随班就读学生不予留级。做好随班就读学生的学籍管理工作，学生修完九年义务教育全部课程，按照素质评价有关规定，符合毕业条件的</w:t>
      </w:r>
      <w:r>
        <w:rPr>
          <w:rFonts w:hint="eastAsia" w:eastAsia="仿宋_GB2312"/>
          <w:kern w:val="2"/>
          <w:sz w:val="32"/>
          <w:szCs w:val="32"/>
          <w:lang w:eastAsia="zh-CN"/>
        </w:rPr>
        <w:t>（</w:t>
      </w:r>
      <w:r>
        <w:rPr>
          <w:rFonts w:eastAsia="仿宋_GB2312"/>
          <w:kern w:val="2"/>
          <w:sz w:val="32"/>
          <w:szCs w:val="32"/>
          <w:lang w:eastAsia="zh-CN"/>
        </w:rPr>
        <w:t>包括补考后</w:t>
      </w:r>
      <w:r>
        <w:rPr>
          <w:rFonts w:hint="eastAsia" w:eastAsia="仿宋_GB2312"/>
          <w:kern w:val="2"/>
          <w:sz w:val="32"/>
          <w:szCs w:val="32"/>
          <w:lang w:eastAsia="zh-CN"/>
        </w:rPr>
        <w:t>），</w:t>
      </w:r>
      <w:r>
        <w:rPr>
          <w:rFonts w:eastAsia="仿宋_GB2312"/>
          <w:kern w:val="2"/>
          <w:sz w:val="32"/>
          <w:szCs w:val="32"/>
          <w:lang w:eastAsia="zh-CN"/>
        </w:rPr>
        <w:t>准予毕业。学校为随班就读学生建立个人档案，包括个人和家庭情况、残疾鉴定、个别化教育计划、学业情况、考核评估、成长记录等。建立健全学生情绪行为问题处理机制和做好随班就读学生攻击性行为应急处理预案。对于完成九年义务教育、有继续升学意愿的随班就读学生，要安排其参加当地初中学业水平考试或单独组织的特殊招生考试。此外，鼓励扩大对非随班就读但有特殊教育需求学生</w:t>
      </w:r>
      <w:r>
        <w:rPr>
          <w:rFonts w:hint="eastAsia" w:eastAsia="仿宋_GB2312"/>
          <w:kern w:val="2"/>
          <w:sz w:val="32"/>
          <w:szCs w:val="32"/>
          <w:lang w:eastAsia="zh-CN"/>
        </w:rPr>
        <w:t>（</w:t>
      </w:r>
      <w:r>
        <w:rPr>
          <w:rFonts w:eastAsia="仿宋_GB2312"/>
          <w:kern w:val="2"/>
          <w:sz w:val="32"/>
          <w:szCs w:val="32"/>
          <w:lang w:eastAsia="zh-CN"/>
        </w:rPr>
        <w:t>如注意力缺陷多动症、学习障碍、情绪障碍等</w:t>
      </w:r>
      <w:r>
        <w:rPr>
          <w:rFonts w:hint="eastAsia" w:eastAsia="仿宋_GB2312"/>
          <w:kern w:val="2"/>
          <w:sz w:val="32"/>
          <w:szCs w:val="32"/>
          <w:lang w:eastAsia="zh-CN"/>
        </w:rPr>
        <w:t>）</w:t>
      </w:r>
      <w:r>
        <w:rPr>
          <w:rFonts w:eastAsia="仿宋_GB2312"/>
          <w:kern w:val="2"/>
          <w:sz w:val="32"/>
          <w:szCs w:val="32"/>
          <w:lang w:eastAsia="zh-CN"/>
        </w:rPr>
        <w:t>的教育和干预。</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outlineLvl w:val="1"/>
        <w:rPr>
          <w:rFonts w:eastAsia="楷体_GB2312"/>
          <w:kern w:val="2"/>
          <w:sz w:val="32"/>
          <w:szCs w:val="32"/>
          <w:lang w:eastAsia="zh-CN"/>
        </w:rPr>
      </w:pPr>
      <w:r>
        <w:rPr>
          <w:rFonts w:hint="eastAsia" w:eastAsia="楷体_GB2312"/>
          <w:kern w:val="2"/>
          <w:sz w:val="32"/>
          <w:szCs w:val="32"/>
          <w:lang w:eastAsia="zh-CN"/>
        </w:rPr>
        <w:t>（</w:t>
      </w:r>
      <w:r>
        <w:rPr>
          <w:rFonts w:eastAsia="楷体_GB2312"/>
          <w:kern w:val="2"/>
          <w:sz w:val="32"/>
          <w:szCs w:val="32"/>
          <w:lang w:eastAsia="zh-CN"/>
        </w:rPr>
        <w:t>二</w:t>
      </w:r>
      <w:r>
        <w:rPr>
          <w:rFonts w:hint="eastAsia" w:eastAsia="楷体_GB2312"/>
          <w:kern w:val="2"/>
          <w:sz w:val="32"/>
          <w:szCs w:val="32"/>
          <w:lang w:eastAsia="zh-CN"/>
        </w:rPr>
        <w:t>）</w:t>
      </w:r>
      <w:r>
        <w:rPr>
          <w:rFonts w:eastAsia="楷体_GB2312"/>
          <w:kern w:val="2"/>
          <w:sz w:val="32"/>
          <w:szCs w:val="32"/>
          <w:lang w:eastAsia="zh-CN"/>
        </w:rPr>
        <w:t>课程教学</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1.个别化教育科学。学校科学评估残疾学生的心理和学习能力，获悉每位残疾学生残疾类别、残疾程度的实际情况，形成评估报告。学校每学期根据残疾学生的评估结果，为其选择合适的校内教育安置方式并进行有针对性的教育。学校针对残疾学生的特性，按照因材施教和“一人一案”的原则，依据国家普通学校课程标准和特殊教育课程标准，指导各融合教育学校制订特殊学生需求的个别化教育方案，提供过程性教育评估与课程调适建议，实施适宜的教育服务。保证每个随班就读学生每周享有不少于3课时的个别辅导和训练。个别化教育计划由家校共同组织实施，同时大力发挥社区教育对实施随班就读学生个别化教育的重要作用。</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2.课程教学有效。学科教师和资源教师能够根据评估结果和个别化教育计划合作调整课程教学内容，科学转化教学方式，不断提高对随班就读学生教育的适宜性和有效性。学校既重视随班就读学生文化知识的学习，也注重开发潜能、补偿缺陷，重视公共安全教育、生活适应教育、劳动技能教育、心理健康教育和体育艺术教育，帮助残疾学生提高劳动能力和生活质量。积极开发培养随班就读学生社交、情绪管理和社会适应等方面能力的校本教材。教师在开展教学活动时，有计划地安排随班就读学生与普通学生的交流互动。学校积极探索运用大数据、人工智能、5G、虚拟现实等现代教育技术，推进教育信息化与残疾学生教学的深度融合创新应用。学校根据学生的学习特点探索生活化、游戏化、项目化教学方式，为随班就读学生提供多种学习机会，保障随班就读学生有质量参与教育教学和学校组织的活动。探索随班就读学生的选课走班制度，最大程度满足其学习需要。</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方正仿宋_GB2312"/>
          <w:kern w:val="2"/>
          <w:sz w:val="32"/>
          <w:szCs w:val="32"/>
          <w:lang w:eastAsia="zh-CN"/>
        </w:rPr>
      </w:pPr>
      <w:r>
        <w:rPr>
          <w:rFonts w:eastAsia="仿宋_GB2312"/>
          <w:kern w:val="2"/>
          <w:sz w:val="32"/>
          <w:szCs w:val="32"/>
          <w:lang w:eastAsia="zh-CN"/>
        </w:rPr>
        <w:t>3.评价方式多元。学校落实《深化新时代教育评价改革总体方案》要求，健全符合随班就读残疾学生实际的综合素质评价办法，将思想品德、学业水平、身心健康、艺术素养、社会实践、科学知识以及生活技能掌握情况作为基本内容，并突出对社会适应能力、个性发展和劳动技能等方面的综合评价，避免单纯以学科知识作为唯一的评价标准，同时将调整过的知识和能力目标作为评价依据，实施每学期不少于一次的个别化评价。在考试调整方面，根据学生特点为学生提供单独考场、考试时间延长、电脑作答、盲文试卷作答、试卷放大、科技辅具作答、试卷简化等形式的便利条件。</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outlineLvl w:val="1"/>
        <w:rPr>
          <w:rFonts w:eastAsia="方正楷体_GB2312"/>
          <w:kern w:val="2"/>
          <w:sz w:val="32"/>
          <w:szCs w:val="32"/>
          <w:lang w:eastAsia="zh-CN"/>
        </w:rPr>
      </w:pPr>
      <w:r>
        <w:rPr>
          <w:rFonts w:hint="eastAsia" w:eastAsia="楷体_GB2312"/>
          <w:kern w:val="2"/>
          <w:sz w:val="32"/>
          <w:szCs w:val="32"/>
          <w:lang w:eastAsia="zh-CN"/>
        </w:rPr>
        <w:t>（</w:t>
      </w:r>
      <w:r>
        <w:rPr>
          <w:rFonts w:eastAsia="楷体_GB2312"/>
          <w:kern w:val="2"/>
          <w:sz w:val="32"/>
          <w:szCs w:val="32"/>
          <w:lang w:eastAsia="zh-CN"/>
        </w:rPr>
        <w:t>三</w:t>
      </w:r>
      <w:r>
        <w:rPr>
          <w:rFonts w:hint="eastAsia" w:eastAsia="楷体_GB2312"/>
          <w:kern w:val="2"/>
          <w:sz w:val="32"/>
          <w:szCs w:val="32"/>
          <w:lang w:eastAsia="zh-CN"/>
        </w:rPr>
        <w:t>）</w:t>
      </w:r>
      <w:r>
        <w:rPr>
          <w:rFonts w:eastAsia="楷体_GB2312"/>
          <w:kern w:val="2"/>
          <w:sz w:val="32"/>
          <w:szCs w:val="32"/>
          <w:lang w:eastAsia="zh-CN"/>
        </w:rPr>
        <w:t>师资队伍</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1.师资配备充足。选派具有一定特殊教育素养、富有仁爱之心和责任心的优秀教师，担任随班就读学生的教师。学校按照1:5的特教教师与随班就读学生之比配备专职特教教师，每个资源教室至少要设专职资源教师1名，视学生实际情况设兼职资源教师若干名。专职资源教师不承担其他科目的教学任务，兼职资源教师在资源教室的工作量不应低于其工作总量的2/3。学校可通过购买服务，探索引入志愿者、社工、康复师等合作机制，承担随班就读学生照护以及康复训练、辅助教学等工作。努力建设一支“普”“特”兼优，数量足够，相对稳定的高素质专业化随班就读教师队伍。</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2.绩效奖励到位。学校针对承担随班就读工作的教师有健全的考核机制，科学全面评价教师的随班就读教育教学能力和实绩，按当地文件标准核发随班就读教师工作补贴。对直接承担随班就读工作的教师资格定期注册、职称评审、岗位聘用、评优评先和绩效奖励工作中，给予适当倾斜。</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方正仿宋_GB2312"/>
          <w:kern w:val="2"/>
          <w:sz w:val="32"/>
          <w:szCs w:val="32"/>
          <w:lang w:eastAsia="zh-CN"/>
        </w:rPr>
      </w:pPr>
      <w:r>
        <w:rPr>
          <w:rFonts w:eastAsia="仿宋_GB2312"/>
          <w:kern w:val="2"/>
          <w:sz w:val="32"/>
          <w:szCs w:val="32"/>
          <w:lang w:eastAsia="zh-CN"/>
        </w:rPr>
        <w:t>3.师资培训深入。学校有计划地组织多层次、多形式的随班就读任课教师和资源教师的研修活动，定期开展校本专题教研活动，不断提升教师特殊教育专业素养。把特殊教育通识培训纳入教师的继续教育工作中，每学期对全校教职工开展随班就读普及性知识培训，了解特殊教育最新政策，学会如何识别常见的残疾学生及简单的应对策略。</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right="0" w:firstLine="640" w:firstLineChars="200"/>
        <w:jc w:val="both"/>
        <w:textAlignment w:val="auto"/>
        <w:outlineLvl w:val="1"/>
        <w:rPr>
          <w:rFonts w:eastAsia="楷体_GB2312"/>
          <w:kern w:val="2"/>
          <w:sz w:val="32"/>
          <w:szCs w:val="32"/>
          <w:lang w:eastAsia="zh-CN"/>
        </w:rPr>
      </w:pPr>
      <w:r>
        <w:rPr>
          <w:rFonts w:hint="eastAsia" w:eastAsia="楷体_GB2312"/>
          <w:kern w:val="2"/>
          <w:sz w:val="32"/>
          <w:szCs w:val="32"/>
          <w:lang w:eastAsia="zh-CN"/>
        </w:rPr>
        <w:t>（</w:t>
      </w:r>
      <w:r>
        <w:rPr>
          <w:rFonts w:eastAsia="楷体_GB2312"/>
          <w:kern w:val="2"/>
          <w:sz w:val="32"/>
          <w:szCs w:val="32"/>
          <w:lang w:eastAsia="zh-CN"/>
        </w:rPr>
        <w:t>四</w:t>
      </w:r>
      <w:r>
        <w:rPr>
          <w:rFonts w:hint="eastAsia" w:eastAsia="楷体_GB2312"/>
          <w:kern w:val="2"/>
          <w:sz w:val="32"/>
          <w:szCs w:val="32"/>
          <w:lang w:eastAsia="zh-CN"/>
        </w:rPr>
        <w:t>）</w:t>
      </w:r>
      <w:r>
        <w:rPr>
          <w:rFonts w:eastAsia="楷体_GB2312"/>
          <w:kern w:val="2"/>
          <w:sz w:val="32"/>
          <w:szCs w:val="32"/>
          <w:lang w:eastAsia="zh-CN"/>
        </w:rPr>
        <w:t>硬件建设</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1.资源教室运作有序。学校按照《教育部办公厅关于印发&lt;普通学校特殊教育资源教室建设指南&gt;的通知》和《广东省特殊儿童少年随班就读资源教室建设与管理实施办法</w:t>
      </w:r>
      <w:r>
        <w:rPr>
          <w:rFonts w:hint="eastAsia" w:eastAsia="仿宋_GB2312"/>
          <w:kern w:val="2"/>
          <w:sz w:val="32"/>
          <w:szCs w:val="32"/>
          <w:lang w:eastAsia="zh-CN"/>
        </w:rPr>
        <w:t>（</w:t>
      </w:r>
      <w:r>
        <w:rPr>
          <w:rFonts w:eastAsia="仿宋_GB2312"/>
          <w:kern w:val="2"/>
          <w:sz w:val="32"/>
          <w:szCs w:val="32"/>
          <w:lang w:eastAsia="zh-CN"/>
        </w:rPr>
        <w:t>试行</w:t>
      </w:r>
      <w:r>
        <w:rPr>
          <w:rFonts w:hint="eastAsia" w:eastAsia="仿宋_GB2312"/>
          <w:kern w:val="2"/>
          <w:sz w:val="32"/>
          <w:szCs w:val="32"/>
          <w:lang w:eastAsia="zh-CN"/>
        </w:rPr>
        <w:t>）</w:t>
      </w:r>
      <w:r>
        <w:rPr>
          <w:rFonts w:eastAsia="仿宋_GB2312"/>
          <w:kern w:val="2"/>
          <w:sz w:val="32"/>
          <w:szCs w:val="32"/>
          <w:lang w:eastAsia="zh-CN"/>
        </w:rPr>
        <w:t>》要求，建设随班就读资源教室。招收5名以上随班就读学生，则需设立资源教室，并按上级相关文件要求及结合随班就读学生的实际情况，配齐配足有关教学辅助设施、评估工具和康复训练设备。充分利用资源教室为残疾学生开展个别辅导、心理咨询、康复训练等特殊教育专业服务。制定资源教室学期工作计划和残疾学生服务课程表。资源教室采用集体上课、小组上课和个别上课相结合的组织形式运作。</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方正仿宋_GB2312"/>
          <w:kern w:val="2"/>
          <w:sz w:val="32"/>
          <w:szCs w:val="32"/>
          <w:lang w:eastAsia="zh-CN"/>
        </w:rPr>
      </w:pPr>
      <w:r>
        <w:rPr>
          <w:rFonts w:eastAsia="仿宋_GB2312"/>
          <w:kern w:val="2"/>
          <w:sz w:val="32"/>
          <w:szCs w:val="32"/>
          <w:lang w:eastAsia="zh-CN"/>
        </w:rPr>
        <w:t>2.无障碍环境与辅具配备规范。学校根据《无障碍环境建设条例》建设校园无障碍设施，如坡道、厕所、电梯等满足随班就读学生的学习和生活需求。学校结合随班就读学生的实际需要，配备相应的辅助科技设备，如无线调频助听设备、助听器、特殊电脑、助视器和助行器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outlineLvl w:val="1"/>
        <w:rPr>
          <w:rFonts w:eastAsia="方正楷体_GB2312"/>
          <w:kern w:val="2"/>
          <w:sz w:val="32"/>
          <w:szCs w:val="32"/>
          <w:lang w:eastAsia="zh-CN"/>
        </w:rPr>
      </w:pPr>
      <w:r>
        <w:rPr>
          <w:rFonts w:hint="eastAsia" w:eastAsia="楷体_GB2312"/>
          <w:kern w:val="2"/>
          <w:sz w:val="32"/>
          <w:szCs w:val="32"/>
          <w:lang w:eastAsia="zh-CN"/>
        </w:rPr>
        <w:t>（</w:t>
      </w:r>
      <w:r>
        <w:rPr>
          <w:rFonts w:eastAsia="楷体_GB2312"/>
          <w:kern w:val="2"/>
          <w:sz w:val="32"/>
          <w:szCs w:val="32"/>
          <w:lang w:eastAsia="zh-CN"/>
        </w:rPr>
        <w:t>五</w:t>
      </w:r>
      <w:r>
        <w:rPr>
          <w:rFonts w:hint="eastAsia" w:eastAsia="楷体_GB2312"/>
          <w:kern w:val="2"/>
          <w:sz w:val="32"/>
          <w:szCs w:val="32"/>
          <w:lang w:eastAsia="zh-CN"/>
        </w:rPr>
        <w:t>）</w:t>
      </w:r>
      <w:r>
        <w:rPr>
          <w:rFonts w:eastAsia="楷体_GB2312"/>
          <w:kern w:val="2"/>
          <w:sz w:val="32"/>
          <w:szCs w:val="32"/>
          <w:lang w:eastAsia="zh-CN"/>
        </w:rPr>
        <w:t>支持保障</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1.制度保障充分。学校对上级拨付的特殊教育相关经费使用和绩效管理合理，充分发挥资金使用效益，确保随班就读各项工作落实到位。学校建立完善的随班就读工作管理制度，包括资源教师工作制度、资源教室管理及运行制度、随班就读教师管理制度、随班就读学生评估制度、随班就读教育教学管理制度、随班就读学生陪读人员管理制度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2.协作发展深入。学校注重发挥康复、医学、特殊教育等专业人员和社区、社会相关团体的作用，形成学校、家庭、社会教育的合力，共同为随班就读学生成长创造良好的教育环境。学校全面构建家校协同育人机制，加强与随班就读学生家长联系与沟通合作。学校与学校之间有序做好随班就读学生的转衔工作，确保档案传送、学籍管理、信息交换等工作顺利开展，保证随班就读学生不因残失学、辍学。</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3.融合氛围良好。学校最大限度创设促进随班就读学生与普通学生广泛交往、全面交流、深度交融的校园文化环境。采取各种有效手段开展融合教育宣导活动，定期宣传校园反霸凌、反歧视、反“标签”的现象。根据随班就读学生的特殊需求，妥善安排教室位置及学生座位，在随班就读学生周围安排有爱心的同伴，为其建立良好的同伴互助关系。</w:t>
      </w:r>
    </w:p>
    <w:p>
      <w:r>
        <w:rPr>
          <w:rFonts w:eastAsia="仿宋_GB2312"/>
          <w:kern w:val="2"/>
          <w:sz w:val="32"/>
          <w:szCs w:val="32"/>
          <w:lang w:eastAsia="zh-CN"/>
        </w:rPr>
        <w:t>4.示范引领突出。随班就读学生的主人翁意识明显，爱学校、爱学习、爱参与，在德智体美劳方面获得全面发展，社交、情绪管理和社会适应能力得以有效发展。普通学生能够理解包容随班就读学生，学会关心弱势群体，接受差异，尊重多元发展。形成具有特色的随班就读学校工作模式，并在一定范围内进行推广。学校注重随班就读的管理体制、运行机制、教育教学、督导评估等方面的改革创新，成效显著。</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2000000000000000000"/>
    <w:charset w:val="00"/>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2312">
    <w:altName w:val="宋体"/>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TgyZTBhMGE4MmJiYzM1OWYwN2I2Nzg3Yzg2NGYifQ=="/>
  </w:docVars>
  <w:rsids>
    <w:rsidRoot w:val="50F62434"/>
    <w:rsid w:val="50F62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2024-06-24T08:49:00Z</dcterms:created>
  <dc:creator>zwcaisy</dc:creator>
  <cp:lastModifiedBy>zwcaisy</cp:lastModifiedBy>
  <dcterms:modified xsi:type="dcterms:W3CDTF">2024-06-24T08:49:54Z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3C8509DAF4FE4A6F8E22EE37C63E7423_11</vt:lpwstr>
  </property>
</Properties>
</file>