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ind w:right="1760"/>
        <w:rPr>
          <w:rFonts w:ascii="Times New Roman" w:hAnsi="Times New Roman" w:eastAsia="黑体"/>
          <w:bCs/>
          <w:kern w:val="36"/>
          <w:sz w:val="32"/>
          <w:szCs w:val="32"/>
        </w:rPr>
      </w:pPr>
      <w:r>
        <w:rPr>
          <w:rFonts w:hint="eastAsia" w:ascii="Times New Roman" w:hAnsi="Times New Roman" w:eastAsia="黑体"/>
          <w:bCs/>
          <w:kern w:val="36"/>
          <w:sz w:val="32"/>
          <w:szCs w:val="32"/>
        </w:rPr>
        <w:t>附件1</w:t>
      </w:r>
    </w:p>
    <w:p>
      <w:pPr>
        <w:widowControl/>
        <w:spacing w:line="560" w:lineRule="exact"/>
        <w:jc w:val="center"/>
        <w:outlineLvl w:val="0"/>
        <w:rPr>
          <w:rFonts w:ascii="Times New Roman" w:hAnsi="Times New Roman" w:eastAsia="方正小标宋简体" w:cs="宋体"/>
          <w:bCs/>
          <w:kern w:val="36"/>
          <w:sz w:val="44"/>
          <w:szCs w:val="44"/>
        </w:rPr>
      </w:pPr>
    </w:p>
    <w:p>
      <w:pPr>
        <w:widowControl/>
        <w:spacing w:line="560" w:lineRule="exact"/>
        <w:jc w:val="center"/>
        <w:outlineLvl w:val="0"/>
        <w:rPr>
          <w:rFonts w:hint="eastAsia" w:ascii="Times New Roman" w:hAnsi="Times New Roman" w:eastAsia="方正小标宋简体" w:cs="宋体"/>
          <w:b w:val="0"/>
          <w:bCs/>
          <w:kern w:val="36"/>
          <w:sz w:val="44"/>
          <w:szCs w:val="44"/>
        </w:rPr>
      </w:pPr>
      <w:r>
        <w:rPr>
          <w:rFonts w:hint="eastAsia" w:ascii="Times New Roman" w:hAnsi="Times New Roman" w:eastAsia="方正小标宋简体" w:cs="宋体"/>
          <w:b w:val="0"/>
          <w:bCs/>
          <w:kern w:val="36"/>
          <w:sz w:val="44"/>
          <w:szCs w:val="44"/>
        </w:rPr>
        <w:t>人力资源社会保障部 教育部关于深化高等</w:t>
      </w:r>
    </w:p>
    <w:p>
      <w:pPr>
        <w:widowControl/>
        <w:spacing w:line="560" w:lineRule="exact"/>
        <w:jc w:val="center"/>
        <w:outlineLvl w:val="0"/>
        <w:rPr>
          <w:rFonts w:hint="eastAsia" w:ascii="Times New Roman" w:hAnsi="Times New Roman" w:eastAsia="方正小标宋简体" w:cs="宋体"/>
          <w:b w:val="0"/>
          <w:bCs/>
          <w:kern w:val="36"/>
          <w:sz w:val="44"/>
          <w:szCs w:val="44"/>
        </w:rPr>
      </w:pPr>
      <w:r>
        <w:rPr>
          <w:rFonts w:hint="eastAsia" w:ascii="Times New Roman" w:hAnsi="Times New Roman" w:eastAsia="方正小标宋简体" w:cs="宋体"/>
          <w:b w:val="0"/>
          <w:bCs/>
          <w:kern w:val="36"/>
          <w:sz w:val="44"/>
          <w:szCs w:val="44"/>
        </w:rPr>
        <w:t>学校教师职称制度改革的指导意见</w:t>
      </w:r>
    </w:p>
    <w:p>
      <w:pPr>
        <w:widowControl/>
        <w:spacing w:line="560" w:lineRule="exact"/>
        <w:jc w:val="center"/>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人社部发〔2020〕100号</w:t>
      </w:r>
    </w:p>
    <w:p>
      <w:pPr>
        <w:widowControl/>
        <w:spacing w:line="560" w:lineRule="exact"/>
        <w:rPr>
          <w:rFonts w:hint="eastAsia" w:ascii="Times New Roman" w:hAnsi="Times New Roman" w:eastAsia="仿宋_GB2312" w:cs="宋体"/>
          <w:kern w:val="0"/>
          <w:sz w:val="32"/>
          <w:szCs w:val="32"/>
        </w:rPr>
      </w:pP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各省、自治区、直辖市及新疆生产建设兵团人力资源社会保障厅（局）、教育厅（教委、教育局），中央和国家机关有关部委人事部门，教育部直属各高等学校：</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高等学校教师（以下简称高校教师）是我国专业技术人才队伍的重要组成部分，是新时代推动国家教育事业发展和高层次人才培养的重要力量。为深入贯彻落实中共中央、国务院印发的《关于全面深化新时代教师队伍建设改革的意见》和《深化新时代教育评价改革总体方案》，按照《中共中央办公厅 国务院办公厅关于深化职称制度改革的意见》要求，进一步完善教师评价机制，激励广大高校教师教书育人，落实立德树人根本任务，推进高等教育内涵式发展，加快教育现代化，现就深化高校教师职称制度改革提出如下指导意见。</w:t>
      </w:r>
    </w:p>
    <w:p>
      <w:pPr>
        <w:widowControl/>
        <w:spacing w:line="560" w:lineRule="exact"/>
        <w:rPr>
          <w:rFonts w:hint="eastAsia" w:ascii="Times New Roman" w:hAnsi="Times New Roman" w:eastAsia="黑体" w:cs="宋体"/>
          <w:kern w:val="0"/>
          <w:sz w:val="32"/>
          <w:szCs w:val="32"/>
        </w:rPr>
      </w:pPr>
      <w:r>
        <w:rPr>
          <w:rFonts w:hint="eastAsia" w:ascii="Times New Roman" w:hAnsi="Times New Roman" w:eastAsia="黑体" w:cs="宋体"/>
          <w:kern w:val="0"/>
          <w:sz w:val="32"/>
          <w:szCs w:val="32"/>
        </w:rPr>
        <w:t>　　</w:t>
      </w:r>
      <w:r>
        <w:rPr>
          <w:rFonts w:hint="eastAsia" w:ascii="Times New Roman" w:hAnsi="Times New Roman" w:eastAsia="黑体" w:cs="宋体"/>
          <w:bCs/>
          <w:kern w:val="0"/>
          <w:sz w:val="32"/>
          <w:szCs w:val="32"/>
        </w:rPr>
        <w:t>一、总体要求</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（一）指导思想。</w:t>
      </w:r>
      <w:r>
        <w:rPr>
          <w:rFonts w:hint="eastAsia" w:ascii="Times New Roman" w:hAnsi="Times New Roman" w:eastAsia="仿宋_GB2312" w:cs="宋体"/>
          <w:kern w:val="0"/>
          <w:sz w:val="32"/>
          <w:szCs w:val="32"/>
        </w:rPr>
        <w:t>以习近平新时代中国特色社会主义思想为指导，全面贯彻落实党的十九大和十九届二中、三中、四中、五中全会以及全国教育大会精神，遵循高校教师职业特点和发展规律，破除束缚高校教师发展的思想观念和体制机制障碍，分类分层，科学评价，充分调动广大高校教师的积极性和创造性，激发高校教师活力、动力，建设一支高素质、专业化、创新型教师队伍，为高等教育事业发展提供制度保障和人才支持。</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（二）基本原则</w:t>
      </w:r>
      <w:r>
        <w:rPr>
          <w:rFonts w:hint="eastAsia" w:ascii="楷体_GB2312" w:hAnsi="楷体_GB2312" w:eastAsia="楷体_GB2312" w:cs="楷体_GB2312"/>
          <w:b/>
          <w:bCs/>
          <w:kern w:val="0"/>
          <w:sz w:val="32"/>
          <w:szCs w:val="32"/>
          <w:lang w:eastAsia="zh-CN"/>
        </w:rPr>
        <w:t>。</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坚持以德为先，教书育人。以师德为先，以教学为要，以育人为本，提升师德师风要求，引导广大教师以德立身、以德立学、以德施教，突出教书育人实绩，培养德智体美劳全面发展的社会主义建设者和接班人。</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2.坚持以人为本，创新机制。把握高校教师成长的规律和工作特点，完善评价标准，创新评价机制，科学客观公正评价，让教师更具有获得感和成就感，激励教师人人尽展其才。</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3.坚持问题导向，精准施策。围绕高校教师职称评审重点难点及突出问题，有针对性地提出改革举措，增强高校教师职称制度改革的实效性。</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4.坚持分类实施，自主评价。根据不同类型、不同层次高校及教师特点，采用业绩水平与发展潜力、定性与定量评价相结合的方式，高校自主实施分类分层评价，政府依法宏观管理。</w:t>
      </w:r>
    </w:p>
    <w:p>
      <w:pPr>
        <w:widowControl/>
        <w:spacing w:line="560" w:lineRule="exact"/>
        <w:rPr>
          <w:rFonts w:hint="eastAsia" w:ascii="Times New Roman" w:hAnsi="Times New Roman" w:eastAsia="黑体" w:cs="宋体"/>
          <w:bCs/>
          <w:kern w:val="0"/>
          <w:sz w:val="32"/>
          <w:szCs w:val="32"/>
        </w:rPr>
      </w:pPr>
      <w:r>
        <w:rPr>
          <w:rFonts w:hint="eastAsia" w:ascii="Times New Roman" w:hAnsi="Times New Roman" w:eastAsia="黑体" w:cs="宋体"/>
          <w:bCs/>
          <w:kern w:val="0"/>
          <w:sz w:val="32"/>
          <w:szCs w:val="32"/>
        </w:rPr>
        <w:t>　　二、主要内容</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深入贯彻高等教育领域“放管服”改革精神，加快转变政府职能，落实高校职称评审自主权，围绕健全制度体系、完善评价</w:t>
      </w:r>
      <w:bookmarkStart w:id="0" w:name="_GoBack"/>
      <w:bookmarkEnd w:id="0"/>
      <w:r>
        <w:rPr>
          <w:rFonts w:hint="eastAsia" w:ascii="Times New Roman" w:hAnsi="Times New Roman" w:eastAsia="仿宋_GB2312" w:cs="宋体"/>
          <w:kern w:val="0"/>
          <w:sz w:val="32"/>
          <w:szCs w:val="32"/>
        </w:rPr>
        <w:t>标准、创新评价机制，形成以人才培养为核心，以品德、能力和</w:t>
      </w:r>
      <w:r>
        <w:rPr>
          <w:rFonts w:hint="eastAsia" w:ascii="Times New Roman" w:hAnsi="Times New Roman" w:eastAsia="仿宋_GB2312" w:cs="宋体"/>
          <w:spacing w:val="-6"/>
          <w:kern w:val="0"/>
          <w:sz w:val="32"/>
          <w:szCs w:val="32"/>
        </w:rPr>
        <w:t>业绩为导向，评价科学、规范有序、竞争择优的高校教师职称制度</w:t>
      </w:r>
      <w:r>
        <w:rPr>
          <w:rFonts w:hint="eastAsia" w:ascii="Times New Roman" w:hAnsi="Times New Roman" w:eastAsia="仿宋_GB2312" w:cs="宋体"/>
          <w:kern w:val="0"/>
          <w:sz w:val="32"/>
          <w:szCs w:val="32"/>
        </w:rPr>
        <w:t>。</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楷体_GB2312" w:cs="宋体"/>
          <w:kern w:val="0"/>
          <w:sz w:val="32"/>
          <w:szCs w:val="32"/>
        </w:rPr>
        <w:t>　　</w:t>
      </w:r>
      <w:r>
        <w:rPr>
          <w:rFonts w:hint="eastAsia" w:ascii="楷体_GB2312" w:hAnsi="楷体_GB2312" w:eastAsia="楷体_GB2312" w:cs="楷体_GB2312"/>
          <w:b/>
          <w:bCs/>
          <w:kern w:val="0"/>
          <w:sz w:val="32"/>
          <w:szCs w:val="32"/>
        </w:rPr>
        <w:t>（一）健全制度体系</w:t>
      </w:r>
      <w:r>
        <w:rPr>
          <w:rFonts w:hint="eastAsia" w:ascii="楷体_GB2312" w:hAnsi="楷体_GB2312" w:eastAsia="楷体_GB2312" w:cs="楷体_GB2312"/>
          <w:b/>
          <w:bCs/>
          <w:kern w:val="0"/>
          <w:sz w:val="32"/>
          <w:szCs w:val="32"/>
          <w:lang w:eastAsia="zh-CN"/>
        </w:rPr>
        <w:t>。</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1.创新岗位类型。保持高校教师现有岗位类型总体不变，一般设有教学为主型、教学科研型等岗位类型。适应新时代教师队伍发展的需要，高校可根据自身发展实际，设置新的岗位类型。</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健全层级设置。高校教师职称一般设置初级、中级、高级，其中高级分设副高级和正高级。初级、中级、副高级、正高级职称名称一般依次是助教、讲师、副教授、教授。有条件的高校可探索实行教师职务聘任改革，设置助理教授等职务。</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　（二）完善评价标准</w:t>
      </w:r>
      <w:r>
        <w:rPr>
          <w:rFonts w:hint="eastAsia" w:ascii="楷体_GB2312" w:hAnsi="楷体_GB2312" w:eastAsia="楷体_GB2312" w:cs="楷体_GB2312"/>
          <w:b/>
          <w:bCs/>
          <w:kern w:val="0"/>
          <w:sz w:val="32"/>
          <w:szCs w:val="32"/>
          <w:lang w:eastAsia="zh-CN"/>
        </w:rPr>
        <w:t>。</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严把思想政治和师德师风考核。贯彻习近平新时代中国特色社会主义思想，坚持社会主义办学方向，以理想信念教育为核心，以社会主义核心价值观为引领，把好思想政治关，将师德表现作为教师职称评审的首要条件。完善思想政治与师德师风考核办法，健全评价标准、体系及考核方案，提高考核评价的科学性和实效性。</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突出教育教学能力和业绩。高校应把认真履行教育教学职责作为评价教师的基本要求。加强教学质量评价，把课堂教学质量作为主要标准，严格教学工作量，强化教学考核要求，提高教学业绩和教学研究在评审中的比重。突出教书育人实绩，注重对履责绩效、创新成果、人才培养实际贡献的评价。</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3.克服唯论文、唯“帽子”、唯学历、唯奖项、唯项目等倾向。规范学术论文指标的使用，论文发表数量和引用情况、期刊影响因子等仅作为评价参考，不以SCI（科学引文索引）、SSCI（社会科学引文索引）等论文相关指标作为前置条件和判断的直接依据。核心是评价研究本身的创新水平和科学价值。高校结合实际建立各学科高水平期刊目录和高水平学术会议目录。对国内和国外的期刊、高水平学术会议发表论文、报告要同等对待，鼓励更多成果在具有重要影响力的国内期刊和高水平学术会议发表。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4.推行代表性成果评价。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注重质量评价，防止简单量化、重数量轻质量，建立并实施有利于教师潜心教学、研究和创新的评价制度。</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三</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创新评价机制</w:t>
      </w:r>
      <w:r>
        <w:rPr>
          <w:rFonts w:hint="eastAsia" w:ascii="楷体_GB2312" w:hAnsi="楷体_GB2312" w:eastAsia="楷体_GB2312" w:cs="楷体_GB2312"/>
          <w:b/>
          <w:bCs/>
          <w:kern w:val="0"/>
          <w:sz w:val="32"/>
          <w:szCs w:val="32"/>
          <w:lang w:eastAsia="zh-CN"/>
        </w:rPr>
        <w:t>。</w:t>
      </w:r>
    </w:p>
    <w:p>
      <w:pPr>
        <w:widowControl/>
        <w:spacing w:line="560" w:lineRule="exact"/>
        <w:ind w:firstLine="640"/>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1.分类分层评价。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职业院校要强化技术技能要求，加强“双师型”教师队伍建设。</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创新评价方式。鼓励采取个人述职、面试答辩、同行评议、实践操作、业绩展示等多种灵活评价方式，完善同行专家评议机制，健全完善外部专家评审制度，探索引入第三方机构进行独立评价。给内、外部评审专家预留充足时间进行评鉴，引导评审专家负责任地提供客观公正的专业评议意见，提高职称评价的科学性、专业性、针对性。注重个人评价与团队评价相结合，考察团队合作及社会效益，尊重和认可团队所有参与者的实际贡献。探索国防科技、公共安全等特殊领域人才评价办法。</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3.建立重点人才绿色通道。引导教师主动服务国家重大战略需求，注重工作实绩，其工作成果不简单以发表论文、获得奖项等进行比较评价。对取得重大基础研究和前沿技术突破、解决重大工程技术难题、在经济社会事业发展中做出重大贡献的教师以及招聘引进的高层次人才和急需紧缺人才等，在严把质量和程序的前提下，可制定较为灵活的评价标准，申报高级职称时论文可不作限制性要求，畅通人才发展通道。</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4.完善信用和惩戒机制。建立申报教师、评审专家及相关人员诚信承诺和诚信信息共享机制。申报教师职称评审中存在弄虚作假、学术不端的，按国家和学校相关规定处理。因弄虚作假、学术不端等通过评审聘任的教师，撤销其评审聘任结果。引导建立学术共同体自律文化，建立完善评审专家的诚信记录、利益冲突回避、履职尽责评价、动态调整、责任追究等制度，严格规范专家评审行为。对违反评审纪律的评审专家、党政领导和其他责任人员，按照有关规定处理。</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5.健全聘期考核机制。科学合理设置考核评价周期，聘期考核与年度考核、日常考核相互结合，并适当延长基础研究人才、青年人才等考核周期，把考核结果作为调整岗位、工资以及续订聘用合同的依据，完善退出机制，实现人员能上能下、能进能出。</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Times New Roman" w:hAnsi="Times New Roman" w:eastAsia="楷体_GB2312" w:cs="宋体"/>
          <w:kern w:val="0"/>
          <w:sz w:val="32"/>
          <w:szCs w:val="32"/>
        </w:rPr>
        <w:t>　</w:t>
      </w:r>
      <w:r>
        <w:rPr>
          <w:rFonts w:hint="eastAsia" w:ascii="楷体_GB2312" w:hAnsi="楷体_GB2312" w:eastAsia="楷体_GB2312" w:cs="楷体_GB2312"/>
          <w:b/>
          <w:bCs/>
          <w:kern w:val="0"/>
          <w:sz w:val="32"/>
          <w:szCs w:val="32"/>
        </w:rPr>
        <w:t>（四）落实自主评审</w:t>
      </w:r>
      <w:r>
        <w:rPr>
          <w:rFonts w:hint="eastAsia" w:ascii="楷体_GB2312" w:hAnsi="楷体_GB2312" w:eastAsia="楷体_GB2312" w:cs="楷体_GB2312"/>
          <w:b/>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下放职称评审权。高校教师职称评审权直接下放至高校，自主组织评审、按岗聘用，主体责任由高校承担。高校要加强对院系的指导和监管，院系要将符合条件的教师向上一级评审组织推荐。条件不具备、尚不能独立组织评审的高等学校，可采取联合评审、委托评审的方式。高校自主制定教师职称评审办法、操作方案等评审文件，按相关规定进行备案。职称评审办法应包括教师评价标准、评审程序、评审委员会人员构成规则、议事规则、回避制度等内容。高校制定的教师评价标准不低于国家规定的基本标准，可结合实际明确破格条件。高校聘用研究人员等到教师岗位的，可结合实际制定职称评价具体办法。职业院校、应用型本科高校对特殊高技能人才可适当放宽学历要求。对长期在艰苦边远地区工作的高校教师，省级人力资源社会保障部门、教育行政部门可根据实际情况适当放宽学历和任职年限要求。</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加强监管服务。按照高校教师职称评审监管办法，加强对高校教师职称评审工作的监管，开展业务指导，搭建平台，优化服务，为高校教师职称评审提供支持。定期按一定比例开展抽查，根据抽查情况、群众反映或舆情反映较强烈的问题，有针对性地进行专项巡查，并将抽查、巡查情况通报公开。对因评审工作把关不严、程序不规范，造成投诉较多、争议较大的高校，责令限期整改。对整改无明显改善或逾期不予整改的高校，暂停其自主评审工作直至收回评审权，并进行责任追究。加强职称评审信息化建设，探索推广在线申报和评审，简化申报信息和材料报送等相关手续。</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　（五）优化思想政治工作评审</w:t>
      </w:r>
      <w:r>
        <w:rPr>
          <w:rFonts w:hint="eastAsia" w:ascii="楷体_GB2312" w:hAnsi="楷体_GB2312" w:eastAsia="楷体_GB2312" w:cs="楷体_GB2312"/>
          <w:b/>
          <w:bCs/>
          <w:kern w:val="0"/>
          <w:sz w:val="32"/>
          <w:szCs w:val="32"/>
          <w:lang w:eastAsia="zh-CN"/>
        </w:rPr>
        <w:t>。</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规范思想政治理论课教师评审体系。思想政治理论课教师职称评审纳入单列计划、单设标准、单独评审体系，高级岗位比例不低于学校平均水平。建立符合思想政治理论课教师职业特点和岗位要求的评价标准，注重考察教学工作业绩和育人实效，将在中央和地方主要媒体上发表的理论文章等纳入思想政治理论课教师职称成果评价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强化教师思想政治工作要求。将学生思想政治教育工作作为教师的基本职责，把教师课程思政建设情况和育人效果作为评价的重要内容。晋升高一级职称的青年教师，须有至少一年担任辅导员、班主任等学生工作经历，或支教、扶贫、参加孔子学院及国际组织援外交流等工作经历，并考核合格。</w:t>
      </w:r>
    </w:p>
    <w:p>
      <w:pPr>
        <w:widowControl/>
        <w:spacing w:line="560" w:lineRule="exact"/>
        <w:rPr>
          <w:rFonts w:hint="eastAsia" w:ascii="楷体_GB2312" w:hAnsi="楷体_GB2312" w:eastAsia="楷体_GB2312" w:cs="楷体_GB2312"/>
          <w:b/>
          <w:bCs/>
          <w:kern w:val="0"/>
          <w:sz w:val="32"/>
          <w:szCs w:val="32"/>
          <w:lang w:eastAsia="zh-CN"/>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　（六）实行评聘结合</w:t>
      </w:r>
      <w:r>
        <w:rPr>
          <w:rFonts w:hint="eastAsia" w:ascii="楷体_GB2312" w:hAnsi="楷体_GB2312" w:eastAsia="楷体_GB2312" w:cs="楷体_GB2312"/>
          <w:b/>
          <w:bCs/>
          <w:kern w:val="0"/>
          <w:sz w:val="32"/>
          <w:szCs w:val="32"/>
          <w:lang w:eastAsia="zh-CN"/>
        </w:rPr>
        <w:t>。</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1. 高校根据国家有关规定自主设置岗位，结合岗位空缺情况开展教师职称评审，并将通过评审的教师聘用到相应岗位，实现教师职称评审与岗位聘用有效衔接。</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2.对此次改革前本高校评审通过、已经取得高校教师职称但未被聘用到相应岗位的人员，有关地方和高校要结合实际研究具体办法，妥善做好这部分人员择优聘用等相关工作。</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w:t>
      </w:r>
      <w:r>
        <w:rPr>
          <w:rFonts w:hint="eastAsia" w:ascii="Times New Roman" w:hAnsi="Times New Roman" w:eastAsia="黑体" w:cs="宋体"/>
          <w:bCs/>
          <w:kern w:val="0"/>
          <w:sz w:val="32"/>
          <w:szCs w:val="32"/>
        </w:rPr>
        <w:t>三、组织实施</w:t>
      </w:r>
    </w:p>
    <w:p>
      <w:pPr>
        <w:widowControl/>
        <w:spacing w:line="560" w:lineRule="exac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　</w:t>
      </w: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加强领导，优化服务。</w:t>
      </w:r>
      <w:r>
        <w:rPr>
          <w:rFonts w:hint="eastAsia" w:ascii="Times New Roman" w:hAnsi="Times New Roman" w:eastAsia="仿宋_GB2312" w:cs="宋体"/>
          <w:kern w:val="0"/>
          <w:sz w:val="32"/>
          <w:szCs w:val="32"/>
        </w:rPr>
        <w:t>深化高校教师职称制度改革，是进一步加强高校教师队伍建设，推进高校治理体系和治理能力现代化，推动高等教育科学发展的重要举措。各地区、各部门、各高校要高度重视，充分认识改革的重要意义，坚持党管人才原则，充分发挥党的思想优势、政治优势和组织优势，加强党的领导，周密部署，统筹协调。各有关部门要各司其职，协同配合，优化服务，为深化高校教师职称制度改革创造良好条件。</w:t>
      </w:r>
    </w:p>
    <w:p>
      <w:pPr>
        <w:keepNext w:val="0"/>
        <w:keepLines w:val="0"/>
        <w:pageBreakBefore w:val="0"/>
        <w:widowControl w:val="0"/>
        <w:kinsoku/>
        <w:wordWrap/>
        <w:overflowPunct/>
        <w:topLinePunct w:val="0"/>
        <w:autoSpaceDE/>
        <w:autoSpaceDN/>
        <w:bidi w:val="0"/>
        <w:adjustRightInd/>
        <w:snapToGrid/>
        <w:spacing w:line="560" w:lineRule="exact"/>
        <w:ind w:firstLine="633"/>
        <w:textAlignment w:val="auto"/>
        <w:rPr>
          <w:rFonts w:hint="eastAsia" w:ascii="Times New Roman" w:hAnsi="Times New Roman" w:eastAsia="仿宋_GB2312" w:cs="宋体"/>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严格程序，确保公正。</w:t>
      </w:r>
      <w:r>
        <w:rPr>
          <w:rFonts w:hint="eastAsia" w:ascii="Times New Roman" w:hAnsi="Times New Roman" w:eastAsia="仿宋_GB2312" w:cs="宋体"/>
          <w:kern w:val="0"/>
          <w:sz w:val="32"/>
          <w:szCs w:val="32"/>
        </w:rPr>
        <w:t>各高校要按照职称制度改革要求，认真做好职称工作，确保标准公开、程序公平、结果公正。要建立健全职称工作机制，明确岗位任职条件，规范竞聘程序，严格公示制度，健全申诉机制，畅通意见渠道，强化自我监督，主动接受外部监督。</w:t>
      </w:r>
    </w:p>
    <w:p>
      <w:pPr>
        <w:keepNext w:val="0"/>
        <w:keepLines w:val="0"/>
        <w:pageBreakBefore w:val="0"/>
        <w:widowControl w:val="0"/>
        <w:kinsoku/>
        <w:wordWrap/>
        <w:overflowPunct/>
        <w:topLinePunct w:val="0"/>
        <w:autoSpaceDE/>
        <w:autoSpaceDN/>
        <w:bidi w:val="0"/>
        <w:adjustRightInd/>
        <w:snapToGrid/>
        <w:spacing w:line="560" w:lineRule="exact"/>
        <w:ind w:firstLine="633"/>
        <w:textAlignment w:val="auto"/>
        <w:rPr>
          <w:rFonts w:hint="eastAsia" w:ascii="Times New Roman" w:hAnsi="Times New Roman" w:eastAsia="仿宋_GB2312" w:cs="宋体"/>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三</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科学谋划，稳妥推进。</w:t>
      </w:r>
      <w:r>
        <w:rPr>
          <w:rFonts w:hint="eastAsia" w:ascii="Times New Roman" w:hAnsi="Times New Roman" w:eastAsia="仿宋_GB2312" w:cs="宋体"/>
          <w:kern w:val="0"/>
          <w:sz w:val="32"/>
          <w:szCs w:val="32"/>
        </w:rPr>
        <w:t>各地区、各高校要正确处理好改革、发展和稳定的关系，把推进高校教师职称制度改革与全面履行职责、加强教师队伍建设和促进高等教育事业发展有机结合起来，确保改革平稳有序进行。</w:t>
      </w:r>
    </w:p>
    <w:p>
      <w:pPr>
        <w:widowControl/>
        <w:spacing w:line="560" w:lineRule="exact"/>
        <w:ind w:firstLine="645"/>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本意见适用于普通高等学校，其他高等学校可参照执行。</w:t>
      </w:r>
    </w:p>
    <w:p>
      <w:pPr>
        <w:widowControl/>
        <w:spacing w:line="560" w:lineRule="exact"/>
        <w:ind w:firstLine="645"/>
        <w:rPr>
          <w:rFonts w:hint="eastAsia" w:ascii="Times New Roman" w:hAnsi="Times New Roman" w:eastAsia="仿宋_GB2312" w:cs="宋体"/>
          <w:kern w:val="0"/>
          <w:sz w:val="32"/>
          <w:szCs w:val="32"/>
        </w:rPr>
      </w:pPr>
    </w:p>
    <w:p>
      <w:pPr>
        <w:widowControl/>
        <w:spacing w:line="560" w:lineRule="exact"/>
        <w:ind w:firstLine="645"/>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附件：高等学校教师职称评价基本标准</w:t>
      </w:r>
    </w:p>
    <w:p>
      <w:pPr>
        <w:widowControl/>
        <w:spacing w:line="560" w:lineRule="exact"/>
        <w:ind w:firstLine="645"/>
        <w:rPr>
          <w:rFonts w:ascii="Times New Roman" w:hAnsi="Times New Roman" w:eastAsia="仿宋_GB2312" w:cs="宋体"/>
          <w:kern w:val="0"/>
          <w:sz w:val="32"/>
          <w:szCs w:val="32"/>
        </w:rPr>
      </w:pPr>
    </w:p>
    <w:p>
      <w:pPr>
        <w:widowControl/>
        <w:spacing w:line="560" w:lineRule="exact"/>
        <w:ind w:firstLine="645"/>
        <w:rPr>
          <w:rFonts w:hint="eastAsia" w:ascii="Times New Roman" w:hAnsi="Times New Roman" w:eastAsia="仿宋_GB2312" w:cs="宋体"/>
          <w:kern w:val="0"/>
          <w:sz w:val="32"/>
          <w:szCs w:val="32"/>
        </w:rPr>
      </w:pPr>
    </w:p>
    <w:p>
      <w:pPr>
        <w:widowControl/>
        <w:spacing w:line="560" w:lineRule="exact"/>
        <w:jc w:val="righ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人力资源社会保障部 教育部</w:t>
      </w:r>
    </w:p>
    <w:p>
      <w:pPr>
        <w:widowControl/>
        <w:spacing w:line="560" w:lineRule="exact"/>
        <w:ind w:right="640"/>
        <w:jc w:val="right"/>
        <w:rPr>
          <w:rFonts w:hint="eastAsia" w:ascii="Times New Roman" w:hAnsi="Times New Roman" w:eastAsia="仿宋_GB2312" w:cs="宋体"/>
          <w:kern w:val="0"/>
          <w:sz w:val="32"/>
          <w:szCs w:val="32"/>
        </w:rPr>
      </w:pPr>
      <w:r>
        <w:rPr>
          <w:rFonts w:hint="eastAsia" w:ascii="Times New Roman" w:hAnsi="Times New Roman" w:eastAsia="仿宋_GB2312" w:cs="宋体"/>
          <w:kern w:val="0"/>
          <w:sz w:val="32"/>
          <w:szCs w:val="32"/>
        </w:rPr>
        <w:t>2020年12月31日</w:t>
      </w:r>
    </w:p>
    <w:p>
      <w:pPr>
        <w:spacing w:line="560" w:lineRule="exact"/>
        <w:rPr>
          <w:rFonts w:ascii="Times New Roman" w:hAnsi="Times New Roman" w:eastAsia="仿宋_GB2312"/>
          <w:sz w:val="32"/>
          <w:szCs w:val="32"/>
        </w:rPr>
        <w:sectPr>
          <w:footerReference r:id="rId3" w:type="default"/>
          <w:pgSz w:w="11906" w:h="16838"/>
          <w:pgMar w:top="2098" w:right="1474" w:bottom="1984" w:left="1587" w:header="1304" w:footer="1417" w:gutter="0"/>
          <w:pgNumType w:fmt="decimal"/>
          <w:cols w:space="720" w:num="1"/>
          <w:rtlGutter w:val="0"/>
          <w:docGrid w:type="linesAndChars" w:linePitch="579" w:charSpace="-842"/>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40"/>
                              <w:lang w:eastAsia="zh-CN"/>
                            </w:rPr>
                          </w:pPr>
                          <w:r>
                            <w:rPr>
                              <w:rFonts w:hint="default" w:ascii="Times New Roman" w:hAnsi="Times New Roman" w:cs="Times New Roman"/>
                              <w:sz w:val="28"/>
                              <w:szCs w:val="40"/>
                              <w:lang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default" w:ascii="Times New Roman" w:hAnsi="Times New Roman" w:cs="Times New Roman"/>
                              <w:sz w:val="28"/>
                              <w:szCs w:val="40"/>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40"/>
                        <w:lang w:eastAsia="zh-CN"/>
                      </w:rPr>
                    </w:pPr>
                    <w:r>
                      <w:rPr>
                        <w:rFonts w:hint="default" w:ascii="Times New Roman" w:hAnsi="Times New Roman" w:cs="Times New Roman"/>
                        <w:sz w:val="28"/>
                        <w:szCs w:val="40"/>
                        <w:lang w:eastAsia="zh-CN"/>
                      </w:rPr>
                      <w:t xml:space="preserve">— </w:t>
                    </w:r>
                    <w:r>
                      <w:rPr>
                        <w:rFonts w:hint="default" w:ascii="Times New Roman" w:hAnsi="Times New Roman" w:cs="Times New Roman"/>
                        <w:sz w:val="28"/>
                        <w:szCs w:val="40"/>
                        <w:lang w:eastAsia="zh-CN"/>
                      </w:rPr>
                      <w:fldChar w:fldCharType="begin"/>
                    </w:r>
                    <w:r>
                      <w:rPr>
                        <w:rFonts w:hint="default" w:ascii="Times New Roman" w:hAnsi="Times New Roman" w:cs="Times New Roman"/>
                        <w:sz w:val="28"/>
                        <w:szCs w:val="40"/>
                        <w:lang w:eastAsia="zh-CN"/>
                      </w:rPr>
                      <w:instrText xml:space="preserve"> PAGE  \* MERGEFORMAT </w:instrText>
                    </w:r>
                    <w:r>
                      <w:rPr>
                        <w:rFonts w:hint="default" w:ascii="Times New Roman" w:hAnsi="Times New Roman" w:cs="Times New Roman"/>
                        <w:sz w:val="28"/>
                        <w:szCs w:val="40"/>
                        <w:lang w:eastAsia="zh-CN"/>
                      </w:rPr>
                      <w:fldChar w:fldCharType="separate"/>
                    </w:r>
                    <w:r>
                      <w:rPr>
                        <w:rFonts w:hint="default" w:ascii="Times New Roman" w:hAnsi="Times New Roman" w:cs="Times New Roman"/>
                        <w:sz w:val="28"/>
                        <w:szCs w:val="40"/>
                        <w:lang w:eastAsia="zh-CN"/>
                      </w:rPr>
                      <w:t>1</w:t>
                    </w:r>
                    <w:r>
                      <w:rPr>
                        <w:rFonts w:hint="default" w:ascii="Times New Roman" w:hAnsi="Times New Roman" w:cs="Times New Roman"/>
                        <w:sz w:val="28"/>
                        <w:szCs w:val="40"/>
                        <w:lang w:eastAsia="zh-CN"/>
                      </w:rPr>
                      <w:fldChar w:fldCharType="end"/>
                    </w:r>
                    <w:r>
                      <w:rPr>
                        <w:rFonts w:hint="default" w:ascii="Times New Roman" w:hAnsi="Times New Roman" w:cs="Times New Roman"/>
                        <w:sz w:val="28"/>
                        <w:szCs w:val="40"/>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24EF5"/>
    <w:rsid w:val="7F424E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customStyle="1" w:styleId="8">
    <w:name w:val="默认段落字体 Para Char Char Char Char Char Char Char Char Char Char"/>
    <w:basedOn w:val="9"/>
    <w:qFormat/>
    <w:uiPriority w:val="0"/>
  </w:style>
  <w:style w:type="paragraph" w:customStyle="1" w:styleId="9">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2021-12-02T03:24:00Z</dcterms:created>
  <dc:creator>林娟玲</dc:creator>
  <cp:lastModifiedBy>林娟玲</cp:lastModifiedBy>
  <dcterms:modified xsi:type="dcterms:W3CDTF">2021-12-02T03:24:43Z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38F69252F52347AB91E37AD7224F596B</vt:lpwstr>
  </property>
</Properties>
</file>