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
          <w:sz w:val="32"/>
          <w:szCs w:val="32"/>
        </w:rPr>
      </w:pPr>
      <w:r>
        <w:rPr>
          <w:rFonts w:ascii="Times New Roman" w:hAnsi="Times New Roman" w:eastAsia="仿宋"/>
          <w:sz w:val="32"/>
          <w:szCs w:val="32"/>
        </w:rPr>
        <w:t>附件</w:t>
      </w:r>
      <w:r>
        <w:rPr>
          <w:rFonts w:hint="eastAsia" w:ascii="Times New Roman" w:hAnsi="Times New Roman" w:eastAsia="仿宋"/>
          <w:sz w:val="32"/>
          <w:szCs w:val="32"/>
        </w:rPr>
        <w:t>1</w:t>
      </w:r>
    </w:p>
    <w:p>
      <w:pPr>
        <w:spacing w:line="560" w:lineRule="exact"/>
        <w:rPr>
          <w:rFonts w:ascii="Times New Roman" w:hAnsi="Times New Roman" w:eastAsia="仿宋"/>
          <w:sz w:val="32"/>
          <w:szCs w:val="32"/>
        </w:rPr>
      </w:pPr>
    </w:p>
    <w:p>
      <w:pPr>
        <w:spacing w:line="7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XXX</w:t>
      </w:r>
      <w:r>
        <w:rPr>
          <w:rFonts w:ascii="Times New Roman" w:hAnsi="Times New Roman" w:eastAsia="方正小标宋简体"/>
          <w:sz w:val="44"/>
          <w:szCs w:val="44"/>
        </w:rPr>
        <w:t>（</w:t>
      </w:r>
      <w:r>
        <w:rPr>
          <w:rFonts w:hint="eastAsia" w:ascii="Times New Roman" w:hAnsi="Times New Roman" w:eastAsia="方正小标宋简体"/>
          <w:sz w:val="44"/>
          <w:szCs w:val="44"/>
        </w:rPr>
        <w:t>地市</w:t>
      </w:r>
      <w:r>
        <w:rPr>
          <w:rFonts w:ascii="Times New Roman" w:hAnsi="Times New Roman" w:eastAsia="方正小标宋简体"/>
          <w:sz w:val="44"/>
          <w:szCs w:val="44"/>
        </w:rPr>
        <w:t>）</w:t>
      </w:r>
      <w:r>
        <w:rPr>
          <w:rFonts w:hint="eastAsia" w:ascii="Times New Roman" w:hAnsi="Times New Roman" w:eastAsia="方正小标宋简体"/>
          <w:sz w:val="44"/>
          <w:szCs w:val="44"/>
        </w:rPr>
        <w:t>关于将新设XXX高校纳入</w:t>
      </w:r>
    </w:p>
    <w:p>
      <w:pPr>
        <w:spacing w:line="7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我省“十三五”高等学校设置规划</w:t>
      </w:r>
    </w:p>
    <w:p>
      <w:pPr>
        <w:spacing w:line="7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中期调整的报告</w:t>
      </w:r>
    </w:p>
    <w:p>
      <w:pPr>
        <w:spacing w:line="560" w:lineRule="exact"/>
        <w:ind w:firstLine="3520" w:firstLineChars="1100"/>
        <w:jc w:val="both"/>
        <w:rPr>
          <w:rFonts w:hint="eastAsia" w:ascii="楷体" w:hAnsi="楷体" w:eastAsia="楷体"/>
          <w:sz w:val="32"/>
          <w:szCs w:val="32"/>
        </w:rPr>
      </w:pPr>
      <w:r>
        <w:rPr>
          <w:rFonts w:hint="eastAsia" w:ascii="楷体" w:hAnsi="楷体" w:eastAsia="楷体"/>
          <w:sz w:val="32"/>
          <w:szCs w:val="32"/>
        </w:rPr>
        <w:t>（参考模板）</w:t>
      </w:r>
    </w:p>
    <w:p>
      <w:pPr>
        <w:spacing w:line="560" w:lineRule="exact"/>
        <w:ind w:firstLine="707" w:firstLineChars="221"/>
        <w:jc w:val="center"/>
        <w:rPr>
          <w:rFonts w:hint="eastAsia" w:ascii="楷体" w:hAnsi="楷体" w:eastAsia="楷体"/>
          <w:sz w:val="32"/>
          <w:szCs w:val="32"/>
        </w:rPr>
      </w:pPr>
    </w:p>
    <w:p>
      <w:pPr>
        <w:spacing w:line="560" w:lineRule="exact"/>
        <w:ind w:firstLine="707" w:firstLineChars="221"/>
        <w:rPr>
          <w:rFonts w:ascii="黑体" w:hAnsi="黑体" w:eastAsia="黑体"/>
          <w:sz w:val="32"/>
          <w:szCs w:val="32"/>
        </w:rPr>
      </w:pPr>
      <w:r>
        <w:rPr>
          <w:rFonts w:hint="eastAsia" w:ascii="黑体" w:hAnsi="黑体" w:eastAsia="黑体"/>
          <w:sz w:val="32"/>
          <w:szCs w:val="32"/>
        </w:rPr>
        <w:t>一、“十三五”期间高等教育发展情况</w:t>
      </w:r>
    </w:p>
    <w:p>
      <w:pPr>
        <w:spacing w:line="560" w:lineRule="exact"/>
        <w:ind w:firstLine="707" w:firstLineChars="221"/>
        <w:rPr>
          <w:rFonts w:ascii="楷体" w:hAnsi="楷体" w:eastAsia="楷体"/>
          <w:sz w:val="32"/>
          <w:szCs w:val="32"/>
        </w:rPr>
      </w:pPr>
      <w:r>
        <w:rPr>
          <w:rFonts w:hint="eastAsia" w:ascii="楷体" w:hAnsi="楷体" w:eastAsia="楷体"/>
          <w:sz w:val="32"/>
          <w:szCs w:val="32"/>
        </w:rPr>
        <w:t>(一)区域经济社会发展总体情况。</w:t>
      </w:r>
    </w:p>
    <w:p>
      <w:pPr>
        <w:spacing w:line="560" w:lineRule="exact"/>
        <w:ind w:firstLine="707" w:firstLineChars="221"/>
        <w:rPr>
          <w:rFonts w:ascii="楷体" w:hAnsi="楷体" w:eastAsia="楷体"/>
          <w:sz w:val="32"/>
          <w:szCs w:val="32"/>
        </w:rPr>
      </w:pPr>
      <w:r>
        <w:rPr>
          <w:rFonts w:hint="eastAsia" w:ascii="楷体" w:hAnsi="楷体" w:eastAsia="楷体"/>
          <w:sz w:val="32"/>
          <w:szCs w:val="32"/>
        </w:rPr>
        <w:t>(二)教育发展情况。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简述总体教育发展情况。重点介绍高等教育情况，主要从人才培养、学科专业建设、师资队伍建设、基本建设等方面取得的成绩以及对促进区域经济社会发展的成效。</w:t>
      </w:r>
    </w:p>
    <w:p>
      <w:pPr>
        <w:spacing w:line="560" w:lineRule="exact"/>
        <w:ind w:firstLine="707" w:firstLineChars="221"/>
        <w:rPr>
          <w:rFonts w:ascii="楷体" w:hAnsi="楷体" w:eastAsia="楷体"/>
          <w:sz w:val="32"/>
          <w:szCs w:val="32"/>
        </w:rPr>
      </w:pPr>
      <w:r>
        <w:rPr>
          <w:rFonts w:hint="eastAsia" w:ascii="楷体" w:hAnsi="楷体" w:eastAsia="楷体"/>
          <w:sz w:val="32"/>
          <w:szCs w:val="32"/>
        </w:rPr>
        <w:t>(三)教育经费投入情况。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总体教育投入情况，重点介绍高等教育经费投入情况以及投入的方向。</w:t>
      </w:r>
    </w:p>
    <w:p>
      <w:pPr>
        <w:spacing w:line="560" w:lineRule="exact"/>
        <w:ind w:firstLine="707" w:firstLineChars="221"/>
        <w:rPr>
          <w:rFonts w:ascii="黑体" w:hAnsi="黑体" w:eastAsia="黑体"/>
          <w:sz w:val="32"/>
          <w:szCs w:val="32"/>
        </w:rPr>
      </w:pPr>
      <w:r>
        <w:rPr>
          <w:rFonts w:hint="eastAsia" w:ascii="黑体" w:hAnsi="黑体" w:eastAsia="黑体"/>
          <w:sz w:val="32"/>
          <w:szCs w:val="32"/>
        </w:rPr>
        <w:t>二、高等教育发展存在问题</w:t>
      </w:r>
    </w:p>
    <w:p>
      <w:pPr>
        <w:spacing w:line="560" w:lineRule="exact"/>
        <w:ind w:firstLine="707" w:firstLineChars="221"/>
        <w:rPr>
          <w:rFonts w:ascii="黑体" w:hAnsi="黑体" w:eastAsia="黑体"/>
          <w:sz w:val="32"/>
          <w:szCs w:val="32"/>
        </w:rPr>
      </w:pPr>
      <w:r>
        <w:rPr>
          <w:rFonts w:ascii="黑体" w:hAnsi="黑体" w:eastAsia="黑体"/>
          <w:sz w:val="32"/>
          <w:szCs w:val="32"/>
        </w:rPr>
        <w:t>……</w:t>
      </w:r>
    </w:p>
    <w:p>
      <w:pPr>
        <w:spacing w:line="560" w:lineRule="exact"/>
        <w:ind w:firstLine="707" w:firstLineChars="221"/>
        <w:rPr>
          <w:rFonts w:ascii="黑体" w:hAnsi="黑体" w:eastAsia="黑体"/>
          <w:sz w:val="32"/>
          <w:szCs w:val="32"/>
        </w:rPr>
      </w:pPr>
      <w:r>
        <w:rPr>
          <w:rFonts w:hint="eastAsia" w:ascii="黑体" w:hAnsi="黑体" w:eastAsia="黑体"/>
          <w:sz w:val="32"/>
          <w:szCs w:val="32"/>
        </w:rPr>
        <w:t>三、“十三五”期间形势分析</w:t>
      </w:r>
    </w:p>
    <w:p>
      <w:pPr>
        <w:spacing w:line="560" w:lineRule="exact"/>
        <w:ind w:firstLine="707" w:firstLineChars="221"/>
        <w:rPr>
          <w:rFonts w:ascii="楷体" w:hAnsi="楷体" w:eastAsia="楷体"/>
          <w:sz w:val="32"/>
          <w:szCs w:val="32"/>
        </w:rPr>
      </w:pPr>
      <w:r>
        <w:rPr>
          <w:rFonts w:hint="eastAsia" w:ascii="楷体" w:hAnsi="楷体" w:eastAsia="楷体"/>
          <w:sz w:val="32"/>
          <w:szCs w:val="32"/>
        </w:rPr>
        <w:t>(一)区域经济发展情况。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重点介绍“十三五”期间，经济社会发展的重点方向，产业转型升级和实施创新驱动战略的举措，支柱产业发展情况，经济增长情况，人民群众收入增长情况。</w:t>
      </w:r>
    </w:p>
    <w:p>
      <w:pPr>
        <w:spacing w:line="560" w:lineRule="exact"/>
        <w:ind w:firstLine="707" w:firstLineChars="221"/>
        <w:rPr>
          <w:rFonts w:ascii="楷体" w:hAnsi="楷体" w:eastAsia="楷体"/>
          <w:sz w:val="32"/>
          <w:szCs w:val="32"/>
        </w:rPr>
      </w:pPr>
      <w:r>
        <w:rPr>
          <w:rFonts w:hint="eastAsia" w:ascii="楷体" w:hAnsi="楷体" w:eastAsia="楷体"/>
          <w:sz w:val="32"/>
          <w:szCs w:val="32"/>
        </w:rPr>
        <w:t>(二)经济社会发展对高等教育的需求情况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主要从经济社会发展对专业人才的需求情况，高等教育供给与劳动力市场需求的关联情况等方面。</w:t>
      </w:r>
    </w:p>
    <w:p>
      <w:pPr>
        <w:spacing w:line="560" w:lineRule="exact"/>
        <w:ind w:firstLine="707" w:firstLineChars="221"/>
        <w:rPr>
          <w:rFonts w:ascii="楷体" w:hAnsi="楷体" w:eastAsia="楷体"/>
          <w:sz w:val="32"/>
          <w:szCs w:val="32"/>
        </w:rPr>
      </w:pPr>
      <w:r>
        <w:rPr>
          <w:rFonts w:hint="eastAsia" w:ascii="楷体" w:hAnsi="楷体" w:eastAsia="楷体"/>
          <w:sz w:val="32"/>
          <w:szCs w:val="32"/>
        </w:rPr>
        <w:t>(三)人口发展趋势对高等教育的影响情况</w:t>
      </w:r>
    </w:p>
    <w:p>
      <w:pPr>
        <w:spacing w:line="560" w:lineRule="exact"/>
        <w:ind w:firstLine="707" w:firstLineChars="221"/>
        <w:rPr>
          <w:rFonts w:ascii="楷体" w:hAnsi="楷体" w:eastAsia="楷体"/>
          <w:sz w:val="32"/>
          <w:szCs w:val="32"/>
        </w:rPr>
      </w:pPr>
      <w:r>
        <w:rPr>
          <w:rFonts w:hint="eastAsia" w:ascii="楷体" w:hAnsi="楷体" w:eastAsia="楷体"/>
          <w:sz w:val="32"/>
          <w:szCs w:val="32"/>
        </w:rPr>
        <w:t>(四)经费投入。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“十三五”期间教育经费投入情况、增长情况，用于高等教育占比，以及主要用途。</w:t>
      </w:r>
    </w:p>
    <w:p>
      <w:pPr>
        <w:spacing w:line="560" w:lineRule="exact"/>
        <w:ind w:firstLine="707" w:firstLineChars="221"/>
        <w:rPr>
          <w:rFonts w:hint="eastAsia" w:ascii="楷体" w:hAnsi="楷体" w:eastAsia="楷体"/>
          <w:sz w:val="32"/>
          <w:szCs w:val="32"/>
        </w:rPr>
      </w:pPr>
      <w:r>
        <w:rPr>
          <w:rFonts w:hint="eastAsia" w:ascii="黑体" w:hAnsi="黑体" w:eastAsia="黑体"/>
          <w:sz w:val="32"/>
          <w:szCs w:val="32"/>
        </w:rPr>
        <w:t>四、新设XXX高校必要性及可行性论证</w:t>
      </w:r>
    </w:p>
    <w:p>
      <w:pPr>
        <w:spacing w:line="560" w:lineRule="exact"/>
        <w:ind w:firstLine="707" w:firstLineChars="221"/>
        <w:rPr>
          <w:rFonts w:hint="eastAsia" w:ascii="楷体" w:hAnsi="楷体" w:eastAsia="楷体"/>
          <w:sz w:val="32"/>
          <w:szCs w:val="32"/>
        </w:rPr>
      </w:pPr>
      <w:r>
        <w:rPr>
          <w:rFonts w:hint="eastAsia" w:ascii="楷体" w:hAnsi="楷体" w:eastAsia="楷体"/>
          <w:sz w:val="32"/>
          <w:szCs w:val="32"/>
        </w:rPr>
        <w:t>（一）必要性（原则上不超过3条，简明扼要）</w:t>
      </w:r>
    </w:p>
    <w:p>
      <w:pPr>
        <w:spacing w:line="560" w:lineRule="exact"/>
        <w:ind w:firstLine="707" w:firstLineChars="221"/>
        <w:rPr>
          <w:rFonts w:hint="eastAsia" w:ascii="楷体" w:hAnsi="楷体" w:eastAsia="楷体"/>
          <w:sz w:val="32"/>
          <w:szCs w:val="32"/>
        </w:rPr>
      </w:pPr>
      <w:r>
        <w:rPr>
          <w:rFonts w:hint="eastAsia" w:ascii="楷体" w:hAnsi="楷体" w:eastAsia="楷体"/>
          <w:sz w:val="32"/>
          <w:szCs w:val="32"/>
        </w:rPr>
        <w:t>（二）可行性。</w:t>
      </w:r>
      <w:r>
        <w:rPr>
          <w:rFonts w:hint="eastAsia" w:ascii="仿宋_GB2312" w:hAnsi="仿宋_GB2312" w:eastAsia="仿宋_GB2312" w:cs="仿宋_GB2312"/>
          <w:sz w:val="32"/>
          <w:szCs w:val="32"/>
        </w:rPr>
        <w:t>一是达到设置标准情况。对照教育部《普通本科学校设置暂行规定》《专科学历教育高等学校设置标准》《高等职业学校设置标准（暂行）》规定的各项指标，逐项描述学校有关情况。二是办学要素配备与办学定位匹配情况。主要是学校在学科专业设置、专任教师队伍结构等办学要素配备方面与办学定位相匹配情况，防止“两张皮”。</w:t>
      </w:r>
    </w:p>
    <w:p>
      <w:pPr>
        <w:spacing w:line="560" w:lineRule="exact"/>
        <w:ind w:firstLine="707" w:firstLineChars="221"/>
        <w:rPr>
          <w:rFonts w:hint="eastAsia" w:ascii="楷体" w:hAnsi="楷体" w:eastAsia="楷体"/>
          <w:sz w:val="32"/>
          <w:szCs w:val="32"/>
        </w:rPr>
      </w:pPr>
      <w:r>
        <w:rPr>
          <w:rFonts w:hint="eastAsia" w:ascii="楷体" w:hAnsi="楷体" w:eastAsia="楷体"/>
          <w:sz w:val="32"/>
          <w:szCs w:val="32"/>
        </w:rPr>
        <w:t>（三）相关佐证材料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1.土地资料方面（是否已有国土证；是否完成拆迁工作；还是正在进行拆迁工作；是只有红线图还是仅有当地政府同意的意向文件）。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2.规划设计落实方面（是否已办理施工许可证；还是正办理建设工程规划许可证；或是正进行修建性详细规划审批；还是只有用地规划许可证）。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3.建筑进展方面（是已建成验收并办理不动产权证；或已封顶或基本建设完成但尚未办理不动产权证；是已开工建设或今年年底之前可开工建设；还是要等到明年才能开工建设）。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4.师资队伍准备情况方面（是已配备了符合要求的师资队伍；还是已组建了部分师资队伍，但尚未达到要求；还是未开展师资队伍的筹备工作，请提供师资队伍名单）。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5.办学经费筹集方面（办学经费筹措情况良好，已支付的经费满足筹建需求；办学经费筹措情况良好，但尚未支付相关筹建经费；办学经费筹集情况一般。请提供政府出资相关文件）。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领导班子落实方面（是否已组建了符合要求的领导班子，并实质性地参与筹建工作；还是已物色了符合要求的领导班子，但并未实质性地参与筹建工作；或是尚未形成符合要求的领导班子。请提供领导班子个人简历）。</w:t>
      </w:r>
      <w:r>
        <w:rPr>
          <w:rFonts w:hint="eastAsia" w:ascii="仿宋_GB2312" w:hAnsi="仿宋_GB2312" w:eastAsia="仿宋_GB2312" w:cs="仿宋_GB2312"/>
          <w:sz w:val="32"/>
          <w:szCs w:val="32"/>
        </w:rPr>
        <w:tab/>
      </w:r>
    </w:p>
    <w:p>
      <w:pPr>
        <w:spacing w:line="560" w:lineRule="exact"/>
        <w:rPr>
          <w:rFonts w:ascii="Times New Roman" w:hAnsi="Times New Roman" w:eastAsia="仿宋"/>
          <w:sz w:val="32"/>
          <w:szCs w:val="32"/>
        </w:rPr>
      </w:pPr>
      <w:r>
        <w:rPr>
          <w:rFonts w:hint="eastAsia" w:ascii="楷体" w:hAnsi="楷体" w:eastAsia="楷体"/>
          <w:sz w:val="32"/>
          <w:szCs w:val="32"/>
        </w:rPr>
        <w:br w:type="page"/>
      </w:r>
      <w:r>
        <w:rPr>
          <w:rFonts w:ascii="Times New Roman" w:hAnsi="Times New Roman" w:eastAsia="仿宋"/>
          <w:sz w:val="32"/>
          <w:szCs w:val="32"/>
        </w:rPr>
        <w:t>附件</w:t>
      </w:r>
      <w:r>
        <w:rPr>
          <w:rFonts w:hint="eastAsia" w:ascii="Times New Roman" w:hAnsi="Times New Roman" w:eastAsia="仿宋"/>
          <w:sz w:val="32"/>
          <w:szCs w:val="32"/>
        </w:rPr>
        <w:t>2</w:t>
      </w:r>
    </w:p>
    <w:p>
      <w:pPr>
        <w:spacing w:line="560" w:lineRule="exact"/>
        <w:rPr>
          <w:rFonts w:ascii="Times New Roman" w:hAnsi="Times New Roman" w:eastAsia="仿宋"/>
          <w:sz w:val="32"/>
          <w:szCs w:val="32"/>
        </w:rPr>
      </w:pPr>
    </w:p>
    <w:p>
      <w:pPr>
        <w:spacing w:line="7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XXX</w:t>
      </w:r>
      <w:r>
        <w:rPr>
          <w:rFonts w:ascii="Times New Roman" w:hAnsi="Times New Roman" w:eastAsia="方正小标宋简体"/>
          <w:sz w:val="44"/>
          <w:szCs w:val="44"/>
        </w:rPr>
        <w:t>（</w:t>
      </w:r>
      <w:r>
        <w:rPr>
          <w:rFonts w:hint="eastAsia" w:ascii="Times New Roman" w:hAnsi="Times New Roman" w:eastAsia="方正小标宋简体"/>
          <w:sz w:val="44"/>
          <w:szCs w:val="44"/>
        </w:rPr>
        <w:t>社会组织</w:t>
      </w:r>
      <w:r>
        <w:rPr>
          <w:rFonts w:ascii="Times New Roman" w:hAnsi="Times New Roman" w:eastAsia="方正小标宋简体"/>
          <w:sz w:val="44"/>
          <w:szCs w:val="44"/>
        </w:rPr>
        <w:t>）</w:t>
      </w:r>
      <w:r>
        <w:rPr>
          <w:rFonts w:hint="eastAsia" w:ascii="Times New Roman" w:hAnsi="Times New Roman" w:eastAsia="方正小标宋简体"/>
          <w:sz w:val="44"/>
          <w:szCs w:val="44"/>
        </w:rPr>
        <w:t>关于将新设XXX高校</w:t>
      </w:r>
    </w:p>
    <w:p>
      <w:pPr>
        <w:spacing w:line="7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纳入我省“十三五”高等学校设置规划</w:t>
      </w:r>
    </w:p>
    <w:p>
      <w:pPr>
        <w:spacing w:line="7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中期</w:t>
      </w:r>
      <w:bookmarkStart w:id="0" w:name="_GoBack"/>
      <w:bookmarkEnd w:id="0"/>
      <w:r>
        <w:rPr>
          <w:rFonts w:hint="eastAsia" w:ascii="Times New Roman" w:hAnsi="Times New Roman" w:eastAsia="方正小标宋简体"/>
          <w:sz w:val="44"/>
          <w:szCs w:val="44"/>
        </w:rPr>
        <w:t>调整的报告</w:t>
      </w:r>
    </w:p>
    <w:p>
      <w:pPr>
        <w:spacing w:line="560" w:lineRule="exact"/>
        <w:ind w:firstLine="707" w:firstLineChars="221"/>
        <w:jc w:val="center"/>
        <w:rPr>
          <w:rFonts w:hint="eastAsia" w:ascii="楷体" w:hAnsi="楷体" w:eastAsia="楷体"/>
          <w:sz w:val="32"/>
          <w:szCs w:val="32"/>
        </w:rPr>
      </w:pPr>
      <w:r>
        <w:rPr>
          <w:rFonts w:hint="eastAsia" w:ascii="楷体" w:hAnsi="楷体" w:eastAsia="楷体"/>
          <w:sz w:val="32"/>
          <w:szCs w:val="32"/>
        </w:rPr>
        <w:t>（参考模板）</w:t>
      </w:r>
    </w:p>
    <w:p>
      <w:pPr>
        <w:spacing w:line="560" w:lineRule="exact"/>
        <w:ind w:firstLine="707" w:firstLineChars="221"/>
        <w:jc w:val="center"/>
        <w:rPr>
          <w:rFonts w:hint="eastAsia" w:ascii="楷体" w:hAnsi="楷体" w:eastAsia="楷体"/>
          <w:sz w:val="32"/>
          <w:szCs w:val="32"/>
        </w:rPr>
      </w:pPr>
    </w:p>
    <w:p>
      <w:pPr>
        <w:spacing w:line="560" w:lineRule="exact"/>
        <w:ind w:firstLine="707" w:firstLineChars="221"/>
        <w:rPr>
          <w:rFonts w:hint="eastAsia" w:ascii="仿宋_GB2312" w:hAnsi="仿宋_GB2312" w:eastAsia="仿宋_GB2312" w:cs="仿宋_GB2312"/>
          <w:sz w:val="32"/>
          <w:szCs w:val="32"/>
        </w:rPr>
      </w:pPr>
      <w:r>
        <w:rPr>
          <w:rFonts w:hint="eastAsia" w:ascii="黑体" w:hAnsi="黑体" w:eastAsia="黑体"/>
          <w:sz w:val="32"/>
          <w:szCs w:val="32"/>
        </w:rPr>
        <w:t>一、新设XXX高校必要性</w:t>
      </w:r>
    </w:p>
    <w:p>
      <w:pPr>
        <w:spacing w:line="560" w:lineRule="exact"/>
        <w:ind w:firstLine="707" w:firstLineChars="221"/>
        <w:rPr>
          <w:rFonts w:hint="eastAsia" w:ascii="楷体" w:hAnsi="楷体" w:eastAsia="楷体"/>
          <w:sz w:val="32"/>
          <w:szCs w:val="32"/>
        </w:rPr>
      </w:pPr>
      <w:r>
        <w:rPr>
          <w:rFonts w:hint="eastAsia" w:ascii="楷体" w:hAnsi="楷体" w:eastAsia="楷体"/>
          <w:sz w:val="32"/>
          <w:szCs w:val="32"/>
        </w:rPr>
        <w:t>原则上不超过3条。</w:t>
      </w:r>
    </w:p>
    <w:p>
      <w:pPr>
        <w:spacing w:line="560" w:lineRule="exact"/>
        <w:ind w:firstLine="707" w:firstLineChars="221"/>
        <w:rPr>
          <w:rFonts w:hint="eastAsia" w:ascii="黑体" w:hAnsi="黑体" w:eastAsia="黑体"/>
          <w:sz w:val="32"/>
          <w:szCs w:val="32"/>
        </w:rPr>
      </w:pPr>
      <w:r>
        <w:rPr>
          <w:rFonts w:hint="eastAsia" w:ascii="黑体" w:hAnsi="黑体" w:eastAsia="黑体"/>
          <w:sz w:val="32"/>
          <w:szCs w:val="32"/>
        </w:rPr>
        <w:t>二、新设XXX高校的可行性</w:t>
      </w:r>
    </w:p>
    <w:p>
      <w:pPr>
        <w:spacing w:line="560" w:lineRule="exact"/>
        <w:ind w:firstLine="707" w:firstLineChars="221"/>
        <w:rPr>
          <w:rFonts w:hint="eastAsia" w:ascii="仿宋_GB2312" w:hAnsi="仿宋_GB2312" w:eastAsia="仿宋_GB2312" w:cs="仿宋_GB2312"/>
          <w:sz w:val="32"/>
          <w:szCs w:val="32"/>
        </w:rPr>
      </w:pPr>
      <w:r>
        <w:rPr>
          <w:rFonts w:hint="eastAsia" w:ascii="楷体_GB2312" w:hAnsi="楷体" w:eastAsia="楷体_GB2312"/>
          <w:sz w:val="32"/>
          <w:szCs w:val="32"/>
        </w:rPr>
        <w:t>（</w:t>
      </w:r>
      <w:r>
        <w:rPr>
          <w:rFonts w:hint="eastAsia" w:ascii="楷体_GB2312" w:hAnsi="仿宋_GB2312" w:eastAsia="楷体_GB2312" w:cs="仿宋_GB2312"/>
          <w:sz w:val="32"/>
          <w:szCs w:val="32"/>
        </w:rPr>
        <w:t>一</w:t>
      </w:r>
      <w:r>
        <w:rPr>
          <w:rFonts w:hint="eastAsia" w:ascii="楷体_GB2312" w:hAnsi="楷体" w:eastAsia="楷体_GB2312"/>
          <w:sz w:val="32"/>
          <w:szCs w:val="32"/>
        </w:rPr>
        <w:t>）</w:t>
      </w:r>
      <w:r>
        <w:rPr>
          <w:rFonts w:hint="eastAsia" w:ascii="楷体_GB2312" w:hAnsi="仿宋_GB2312" w:eastAsia="楷体_GB2312" w:cs="仿宋_GB2312"/>
          <w:sz w:val="32"/>
          <w:szCs w:val="32"/>
        </w:rPr>
        <w:t>达到设置标准情况。</w:t>
      </w:r>
      <w:r>
        <w:rPr>
          <w:rFonts w:hint="eastAsia" w:ascii="仿宋_GB2312" w:hAnsi="仿宋_GB2312" w:eastAsia="仿宋_GB2312" w:cs="仿宋_GB2312"/>
          <w:sz w:val="32"/>
          <w:szCs w:val="32"/>
        </w:rPr>
        <w:t>对照教育部《普通本科学校设置暂行规定》《专科学历教育高等学校设置标准》《高等职业学校设置标准（暂行）》规定的各项指标，逐项描述学校有关情况。</w:t>
      </w:r>
    </w:p>
    <w:p>
      <w:pPr>
        <w:spacing w:line="560" w:lineRule="exact"/>
        <w:ind w:firstLine="707" w:firstLineChars="221"/>
        <w:rPr>
          <w:rFonts w:hint="eastAsia" w:ascii="楷体" w:hAnsi="楷体" w:eastAsia="楷体"/>
          <w:sz w:val="32"/>
          <w:szCs w:val="32"/>
        </w:rPr>
      </w:pPr>
      <w:r>
        <w:rPr>
          <w:rFonts w:hint="eastAsia" w:ascii="楷体_GB2312" w:hAnsi="仿宋_GB2312" w:eastAsia="楷体_GB2312" w:cs="仿宋_GB2312"/>
          <w:sz w:val="32"/>
          <w:szCs w:val="32"/>
        </w:rPr>
        <w:t>（二）办学要素配备与办学定位匹配情况。</w:t>
      </w:r>
      <w:r>
        <w:rPr>
          <w:rFonts w:hint="eastAsia" w:ascii="仿宋_GB2312" w:hAnsi="仿宋_GB2312" w:eastAsia="仿宋_GB2312" w:cs="仿宋_GB2312"/>
          <w:sz w:val="32"/>
          <w:szCs w:val="32"/>
        </w:rPr>
        <w:t>主要是学校在学科专业设置、专任教师队伍结构等办学要素配备方面与办学定位相匹配情况，防止“两张皮”。</w:t>
      </w:r>
    </w:p>
    <w:p>
      <w:pPr>
        <w:spacing w:line="560" w:lineRule="exact"/>
        <w:ind w:firstLine="707" w:firstLineChars="221"/>
        <w:rPr>
          <w:rFonts w:hint="eastAsia" w:ascii="黑体" w:hAnsi="黑体" w:eastAsia="黑体"/>
          <w:sz w:val="32"/>
          <w:szCs w:val="32"/>
        </w:rPr>
      </w:pPr>
      <w:r>
        <w:rPr>
          <w:rFonts w:hint="eastAsia" w:ascii="黑体" w:hAnsi="黑体" w:eastAsia="黑体"/>
          <w:sz w:val="32"/>
          <w:szCs w:val="32"/>
        </w:rPr>
        <w:t>三、相关佐证材料</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（一）土地资料方面</w:t>
      </w:r>
      <w:r>
        <w:rPr>
          <w:rFonts w:hint="eastAsia" w:ascii="仿宋_GB2312" w:hAnsi="仿宋_GB2312" w:eastAsia="仿宋_GB2312" w:cs="仿宋_GB2312"/>
          <w:sz w:val="32"/>
          <w:szCs w:val="32"/>
        </w:rPr>
        <w:t>（是否已有国土证；是否完成拆迁工作；还是正在进行拆迁工作；是只有红线图还是仅有当地政府同意的意向文件）。</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（二）规划设计落实方面（</w:t>
      </w:r>
      <w:r>
        <w:rPr>
          <w:rFonts w:hint="eastAsia" w:ascii="仿宋_GB2312" w:hAnsi="仿宋_GB2312" w:eastAsia="仿宋_GB2312" w:cs="仿宋_GB2312"/>
          <w:sz w:val="32"/>
          <w:szCs w:val="32"/>
        </w:rPr>
        <w:t>是否已办理施工许可证；还是正办理建设工程规划许可证；或是正进行修建性详细规划审批；还是只有用地规划许可证）。</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 w:eastAsia="楷体_GB2312" w:cs="Times New Roman"/>
          <w:sz w:val="32"/>
          <w:szCs w:val="32"/>
        </w:rPr>
        <w:t>（三）建筑进展方面（</w:t>
      </w:r>
      <w:r>
        <w:rPr>
          <w:rFonts w:hint="eastAsia" w:ascii="仿宋_GB2312" w:hAnsi="仿宋_GB2312" w:eastAsia="仿宋_GB2312" w:cs="仿宋_GB2312"/>
          <w:sz w:val="32"/>
          <w:szCs w:val="32"/>
        </w:rPr>
        <w:t>是已建成验收并办理不动产权证；或已封顶或基本建设完成但尚未办理不动产权证；是已开工建设或今年年底之前可开工建设；还是要等到明年才能开工建设）。</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（四）师资队伍准备情况方面</w:t>
      </w:r>
      <w:r>
        <w:rPr>
          <w:rFonts w:hint="eastAsia" w:ascii="仿宋_GB2312" w:hAnsi="仿宋_GB2312" w:eastAsia="仿宋_GB2312" w:cs="仿宋_GB2312"/>
          <w:sz w:val="32"/>
          <w:szCs w:val="32"/>
        </w:rPr>
        <w:t>（是已配备了符合要求的师资队伍；还是已组建了部分师资队伍，但尚未达到要求；还是未开展师资队伍的筹备工作，请提供师资队伍名单）。</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（五）办学经费筹集方面</w:t>
      </w:r>
      <w:r>
        <w:rPr>
          <w:rFonts w:hint="eastAsia" w:ascii="仿宋_GB2312" w:hAnsi="仿宋_GB2312" w:eastAsia="仿宋_GB2312" w:cs="仿宋_GB2312"/>
          <w:sz w:val="32"/>
          <w:szCs w:val="32"/>
        </w:rPr>
        <w:t>（办学经费筹措情况良好，已支付的经费满足筹建需求；办学经费筹措情况良好，但尚未支付相关筹建经费；办学经费筹集情况一般。请提供举办者上一年度财务审计报告、董事会决议、股东会决议等）。</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（六）领导班子落实方面（</w:t>
      </w:r>
      <w:r>
        <w:rPr>
          <w:rFonts w:hint="eastAsia" w:ascii="仿宋_GB2312" w:hAnsi="仿宋_GB2312" w:eastAsia="仿宋_GB2312" w:cs="仿宋_GB2312"/>
          <w:sz w:val="32"/>
          <w:szCs w:val="32"/>
        </w:rPr>
        <w:t>是否已组建了符合要求的领导班子，并实质性地参与筹建工作；还是已物色了符合要求的领导班子，但并未实质性地参与筹建工作；或是尚未形成符合要求的领导班子。请提供领导班子个人简历）。</w:t>
      </w:r>
      <w:r>
        <w:rPr>
          <w:rFonts w:hint="eastAsia" w:ascii="仿宋_GB2312" w:hAnsi="仿宋_GB2312" w:eastAsia="仿宋_GB2312" w:cs="仿宋_GB2312"/>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（七）符合地方经济社会发展需求方面</w:t>
      </w:r>
      <w:r>
        <w:rPr>
          <w:rFonts w:hint="eastAsia" w:ascii="仿宋_GB2312" w:hAnsi="仿宋_GB2312" w:eastAsia="仿宋_GB2312" w:cs="仿宋_GB2312"/>
          <w:sz w:val="32"/>
          <w:szCs w:val="32"/>
        </w:rPr>
        <w:t>（要求提供所在地市政府同意设立相关高校的证明材料）</w:t>
      </w:r>
    </w:p>
    <w:p>
      <w:pPr>
        <w:spacing w:line="560" w:lineRule="exact"/>
        <w:rPr>
          <w:rFonts w:hint="eastAsia" w:ascii="Times New Roman" w:hAnsi="Times New Roman" w:eastAsia="仿宋"/>
          <w:sz w:val="32"/>
          <w:szCs w:val="32"/>
        </w:rPr>
      </w:pPr>
      <w:r>
        <w:rPr>
          <w:rFonts w:ascii="楷体" w:hAnsi="楷体" w:eastAsia="楷体"/>
          <w:sz w:val="32"/>
          <w:szCs w:val="32"/>
        </w:rPr>
        <w:br w:type="page"/>
      </w:r>
      <w:r>
        <w:rPr>
          <w:rFonts w:ascii="Times New Roman" w:hAnsi="Times New Roman" w:eastAsia="仿宋"/>
          <w:sz w:val="32"/>
          <w:szCs w:val="32"/>
        </w:rPr>
        <w:t>附件</w:t>
      </w:r>
      <w:r>
        <w:rPr>
          <w:rFonts w:hint="eastAsia" w:ascii="Times New Roman" w:hAnsi="Times New Roman" w:eastAsia="仿宋"/>
          <w:sz w:val="32"/>
          <w:szCs w:val="32"/>
        </w:rPr>
        <w:t>3</w:t>
      </w:r>
    </w:p>
    <w:p>
      <w:pPr>
        <w:spacing w:line="560" w:lineRule="exact"/>
        <w:rPr>
          <w:rFonts w:ascii="Times New Roman" w:hAnsi="Times New Roman" w:eastAsia="仿宋"/>
          <w:sz w:val="32"/>
          <w:szCs w:val="32"/>
        </w:rPr>
      </w:pPr>
    </w:p>
    <w:p>
      <w:pPr>
        <w:spacing w:line="7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XXX</w:t>
      </w:r>
      <w:r>
        <w:rPr>
          <w:rFonts w:ascii="Times New Roman" w:hAnsi="Times New Roman" w:eastAsia="方正小标宋简体"/>
          <w:sz w:val="44"/>
          <w:szCs w:val="44"/>
        </w:rPr>
        <w:t>（</w:t>
      </w:r>
      <w:r>
        <w:rPr>
          <w:rFonts w:hint="eastAsia" w:ascii="Times New Roman" w:hAnsi="Times New Roman" w:eastAsia="方正小标宋简体"/>
          <w:sz w:val="44"/>
          <w:szCs w:val="44"/>
        </w:rPr>
        <w:t>高校</w:t>
      </w:r>
      <w:r>
        <w:rPr>
          <w:rFonts w:ascii="Times New Roman" w:hAnsi="Times New Roman" w:eastAsia="方正小标宋简体"/>
          <w:sz w:val="44"/>
          <w:szCs w:val="44"/>
        </w:rPr>
        <w:t>）</w:t>
      </w:r>
      <w:r>
        <w:rPr>
          <w:rFonts w:hint="eastAsia" w:ascii="Times New Roman" w:hAnsi="Times New Roman" w:eastAsia="方正小标宋简体"/>
          <w:sz w:val="44"/>
          <w:szCs w:val="44"/>
        </w:rPr>
        <w:t>关于更名（转设）为XXX</w:t>
      </w:r>
      <w:r>
        <w:rPr>
          <w:rFonts w:ascii="Times New Roman" w:hAnsi="Times New Roman" w:eastAsia="方正小标宋简体"/>
          <w:sz w:val="44"/>
          <w:szCs w:val="44"/>
        </w:rPr>
        <w:t>（</w:t>
      </w:r>
      <w:r>
        <w:rPr>
          <w:rFonts w:hint="eastAsia" w:ascii="Times New Roman" w:hAnsi="Times New Roman" w:eastAsia="方正小标宋简体"/>
          <w:sz w:val="44"/>
          <w:szCs w:val="44"/>
        </w:rPr>
        <w:t>高校</w:t>
      </w:r>
      <w:r>
        <w:rPr>
          <w:rFonts w:ascii="Times New Roman" w:hAnsi="Times New Roman" w:eastAsia="方正小标宋简体"/>
          <w:sz w:val="44"/>
          <w:szCs w:val="44"/>
        </w:rPr>
        <w:t>）</w:t>
      </w:r>
      <w:r>
        <w:rPr>
          <w:rFonts w:hint="eastAsia" w:ascii="Times New Roman" w:hAnsi="Times New Roman" w:eastAsia="方正小标宋简体"/>
          <w:sz w:val="44"/>
          <w:szCs w:val="44"/>
        </w:rPr>
        <w:t>纳入我省“十三五”高等学校设置规划中期调整的报告</w:t>
      </w:r>
    </w:p>
    <w:p>
      <w:pPr>
        <w:spacing w:line="760" w:lineRule="exact"/>
        <w:ind w:firstLine="707" w:firstLineChars="221"/>
        <w:jc w:val="center"/>
        <w:rPr>
          <w:rFonts w:hint="eastAsia" w:ascii="楷体" w:hAnsi="楷体" w:eastAsia="楷体"/>
          <w:sz w:val="32"/>
          <w:szCs w:val="32"/>
        </w:rPr>
      </w:pPr>
      <w:r>
        <w:rPr>
          <w:rFonts w:hint="eastAsia" w:ascii="楷体" w:hAnsi="楷体" w:eastAsia="楷体"/>
          <w:sz w:val="32"/>
          <w:szCs w:val="32"/>
        </w:rPr>
        <w:t>（参考模板）</w:t>
      </w:r>
    </w:p>
    <w:p>
      <w:pPr>
        <w:spacing w:line="760" w:lineRule="exact"/>
        <w:ind w:firstLine="707" w:firstLineChars="221"/>
        <w:jc w:val="center"/>
        <w:rPr>
          <w:rFonts w:hint="eastAsia" w:ascii="楷体" w:hAnsi="楷体" w:eastAsia="楷体"/>
          <w:sz w:val="32"/>
          <w:szCs w:val="32"/>
        </w:rPr>
      </w:pPr>
    </w:p>
    <w:p>
      <w:pPr>
        <w:spacing w:line="560" w:lineRule="exact"/>
        <w:ind w:firstLine="707" w:firstLineChars="221"/>
        <w:rPr>
          <w:rFonts w:ascii="黑体" w:hAnsi="黑体" w:eastAsia="黑体"/>
          <w:sz w:val="32"/>
          <w:szCs w:val="32"/>
        </w:rPr>
      </w:pPr>
      <w:r>
        <w:rPr>
          <w:rFonts w:hint="eastAsia" w:ascii="黑体" w:hAnsi="黑体" w:eastAsia="黑体"/>
          <w:sz w:val="32"/>
          <w:szCs w:val="32"/>
        </w:rPr>
        <w:t>一、“十三五”期间学校发展情况</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(一)总体情况。</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(二)人才培养情况。</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(三)学科专业建设情况。</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(四)师资队伍建设情况。</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(五)学校经费投入情况。</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(六)学校基本建设情况。</w:t>
      </w:r>
    </w:p>
    <w:p>
      <w:pPr>
        <w:spacing w:line="560" w:lineRule="exact"/>
        <w:ind w:firstLine="707" w:firstLineChars="221"/>
        <w:rPr>
          <w:rFonts w:ascii="黑体" w:hAnsi="黑体" w:eastAsia="黑体"/>
          <w:sz w:val="32"/>
          <w:szCs w:val="32"/>
        </w:rPr>
      </w:pPr>
      <w:r>
        <w:rPr>
          <w:rFonts w:hint="eastAsia" w:ascii="黑体" w:hAnsi="黑体" w:eastAsia="黑体"/>
          <w:sz w:val="32"/>
          <w:szCs w:val="32"/>
        </w:rPr>
        <w:t>二、存在问题</w:t>
      </w:r>
    </w:p>
    <w:p>
      <w:pPr>
        <w:spacing w:line="560" w:lineRule="exact"/>
        <w:ind w:firstLine="707" w:firstLineChars="221"/>
        <w:rPr>
          <w:rFonts w:ascii="黑体" w:hAnsi="黑体" w:eastAsia="黑体"/>
          <w:sz w:val="32"/>
          <w:szCs w:val="32"/>
        </w:rPr>
      </w:pPr>
      <w:r>
        <w:rPr>
          <w:rFonts w:ascii="黑体" w:hAnsi="黑体" w:eastAsia="黑体"/>
          <w:sz w:val="32"/>
          <w:szCs w:val="32"/>
        </w:rPr>
        <w:t>……</w:t>
      </w:r>
    </w:p>
    <w:p>
      <w:pPr>
        <w:spacing w:line="560" w:lineRule="exact"/>
        <w:ind w:firstLine="707" w:firstLineChars="221"/>
        <w:rPr>
          <w:rFonts w:ascii="黑体" w:hAnsi="黑体" w:eastAsia="黑体"/>
          <w:sz w:val="32"/>
          <w:szCs w:val="32"/>
        </w:rPr>
      </w:pPr>
      <w:r>
        <w:rPr>
          <w:rFonts w:hint="eastAsia" w:ascii="黑体" w:hAnsi="黑体" w:eastAsia="黑体"/>
          <w:sz w:val="32"/>
          <w:szCs w:val="32"/>
        </w:rPr>
        <w:t>三、“十三五”期间学校发展定位</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(一)形势分析。</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(二)办学定位。</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(三)办学规模。</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(四)专业设置。</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(五)师资队伍。</w:t>
      </w:r>
    </w:p>
    <w:p>
      <w:pPr>
        <w:spacing w:line="560" w:lineRule="exact"/>
        <w:ind w:firstLine="707" w:firstLineChars="221"/>
        <w:rPr>
          <w:rFonts w:ascii="楷体_GB2312" w:hAnsi="楷体" w:eastAsia="楷体_GB2312"/>
          <w:sz w:val="32"/>
          <w:szCs w:val="32"/>
        </w:rPr>
      </w:pPr>
      <w:r>
        <w:rPr>
          <w:rFonts w:hint="eastAsia" w:ascii="楷体_GB2312" w:hAnsi="楷体" w:eastAsia="楷体_GB2312"/>
          <w:sz w:val="32"/>
          <w:szCs w:val="32"/>
        </w:rPr>
        <w:t>(六)经费投入。</w:t>
      </w:r>
    </w:p>
    <w:p>
      <w:pPr>
        <w:spacing w:line="560" w:lineRule="exact"/>
        <w:ind w:firstLine="707" w:firstLineChars="221"/>
        <w:rPr>
          <w:rFonts w:ascii="黑体" w:hAnsi="黑体" w:eastAsia="黑体"/>
          <w:sz w:val="32"/>
          <w:szCs w:val="32"/>
        </w:rPr>
      </w:pPr>
      <w:r>
        <w:rPr>
          <w:rFonts w:hint="eastAsia" w:ascii="黑体" w:hAnsi="黑体" w:eastAsia="黑体"/>
          <w:sz w:val="32"/>
          <w:szCs w:val="32"/>
        </w:rPr>
        <w:t>四、XXX高校更名（转设）为XXX高校必要性及可行性论证</w:t>
      </w:r>
    </w:p>
    <w:p>
      <w:pPr>
        <w:spacing w:line="560" w:lineRule="exact"/>
        <w:ind w:firstLine="707" w:firstLineChars="221"/>
        <w:rPr>
          <w:rFonts w:hint="eastAsia" w:ascii="楷体_GB2312" w:hAnsi="楷体" w:eastAsia="楷体_GB2312"/>
          <w:sz w:val="32"/>
          <w:szCs w:val="32"/>
        </w:rPr>
      </w:pPr>
      <w:r>
        <w:rPr>
          <w:rFonts w:hint="eastAsia" w:ascii="楷体_GB2312" w:hAnsi="楷体" w:eastAsia="楷体_GB2312"/>
          <w:sz w:val="32"/>
          <w:szCs w:val="32"/>
        </w:rPr>
        <w:t>（一）必要性（原则上不超过3条，简明扼要）。</w:t>
      </w:r>
    </w:p>
    <w:p>
      <w:pPr>
        <w:spacing w:line="560" w:lineRule="exact"/>
        <w:ind w:firstLine="707" w:firstLineChars="221"/>
        <w:rPr>
          <w:rFonts w:hint="eastAsia" w:ascii="仿宋_GB2312" w:hAnsi="仿宋_GB2312" w:eastAsia="仿宋_GB2312" w:cs="仿宋_GB2312"/>
          <w:sz w:val="32"/>
          <w:szCs w:val="32"/>
        </w:rPr>
      </w:pPr>
      <w:r>
        <w:rPr>
          <w:rFonts w:hint="eastAsia" w:ascii="楷体_GB2312" w:hAnsi="楷体" w:eastAsia="楷体_GB2312"/>
          <w:sz w:val="32"/>
          <w:szCs w:val="32"/>
        </w:rPr>
        <w:t>（二）可行性。</w:t>
      </w:r>
      <w:r>
        <w:rPr>
          <w:rFonts w:hint="eastAsia" w:ascii="仿宋_GB2312" w:hAnsi="仿宋_GB2312" w:eastAsia="仿宋_GB2312" w:cs="仿宋_GB2312"/>
          <w:sz w:val="32"/>
          <w:szCs w:val="32"/>
        </w:rPr>
        <w:t>一是达到设置标准情况。对照教育部《普通本科学校设置暂行规定》《专科学历教育高等学校设置标准》《高等职业学校设置标准（暂行）》规定的各项指标，逐项描述学校有关情况。二是办学要素配备与办学定位匹配情况。主要是学校在学科专业设置、专任教师队伍结构等办学要素配备方面与办学定位相匹配情况，防止“两张皮”。</w:t>
      </w:r>
    </w:p>
    <w:p>
      <w:pPr>
        <w:spacing w:line="560" w:lineRule="exact"/>
        <w:ind w:firstLine="707" w:firstLineChars="221"/>
        <w:rPr>
          <w:rFonts w:hint="eastAsia" w:ascii="仿宋_GB2312" w:hAnsi="仿宋_GB2312" w:eastAsia="仿宋_GB2312" w:cs="仿宋_GB2312"/>
          <w:sz w:val="32"/>
          <w:szCs w:val="32"/>
        </w:rPr>
      </w:pPr>
      <w:r>
        <w:rPr>
          <w:rFonts w:hint="eastAsia" w:ascii="楷体_GB2312" w:hAnsi="楷体" w:eastAsia="楷体_GB2312"/>
          <w:sz w:val="32"/>
          <w:szCs w:val="32"/>
        </w:rPr>
        <w:t>（三）相关佐证材料</w:t>
      </w:r>
    </w:p>
    <w:p>
      <w:pPr>
        <w:spacing w:line="560" w:lineRule="exact"/>
        <w:ind w:firstLine="710" w:firstLineChars="22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1.申请更名大学的:</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（1）校园建设规划图。</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（2）校园所有用地、用房产权证(可缩印排版并附明细表)。</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（3）各专业全日制在校生人数分布表(按学科门类、一级学科、专业名称分类统计，并提供各学科门类全日制本科以上在校生数占学校全日制本科以上在校生总数的比例)。</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（4）硕士、博士学位授权点一览表(按学科门类、一级学科所属的二级学科学位授权点，提供相应的在校生数以及毕业生届数)。</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（5）专任教师名单(包括年龄、学历学位、职称、任教学科、现工资关系所在单位、来校工作年份等，按职称排序)。</w:t>
      </w:r>
    </w:p>
    <w:p>
      <w:pPr>
        <w:spacing w:line="560" w:lineRule="exact"/>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（6）省部级以上重点实验室情况一览表（注明审批机关）。</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（7）近5年 (2014-2018年)分年度及年均实际到账科研经费额。</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（8）近5年(2014-2018年)学校获省部级以上科研成果奖情况一览表及获国家级科研成果奖证书;以个人名义获奖的，应为本校现有专任教师在本校工作期间获奖。</w:t>
      </w:r>
    </w:p>
    <w:p>
      <w:pPr>
        <w:spacing w:line="560" w:lineRule="exact"/>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（9）获近两届省部级以上教学成果奖一览表。</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（10）主要教学科研仪器设备值一览表。</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（11）其他必要的补充材料。</w:t>
      </w:r>
    </w:p>
    <w:p>
      <w:pPr>
        <w:spacing w:line="560" w:lineRule="exact"/>
        <w:ind w:firstLine="707" w:firstLineChars="221"/>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2.高职高专申请同层次更名的：</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（1）校园建设规划图。</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（2）校园所有用地、用房产权证（可缩印排版并附明细表）。</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（3）专任教师名单(包括年龄、学历学位、职称、任教学科、现 工资关系所在单位、来校工作年份等，按职称排序)。</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（4）现有专业一览表。</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（5）专业一览表(包括分专业的人才培养方案、办学条件、师资条件、科研和 获奖情况、论文著作、教学计划摘要、主要课程设置、实践教学安排等)。</w:t>
      </w:r>
    </w:p>
    <w:p>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（6）主要教学科研仪器设备值一览表。</w:t>
      </w:r>
    </w:p>
    <w:p>
      <w:pPr>
        <w:spacing w:line="560" w:lineRule="exact"/>
        <w:ind w:firstLine="707" w:firstLineChars="221"/>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（7）其他必要的补充材料。</w:t>
      </w:r>
    </w:p>
    <w:p>
      <w:pPr>
        <w:spacing w:line="560" w:lineRule="exact"/>
        <w:ind w:firstLine="790" w:firstLineChars="246"/>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3.申请独立学院转设的:</w:t>
      </w:r>
    </w:p>
    <w:p>
      <w:pPr>
        <w:spacing w:line="560" w:lineRule="exact"/>
        <w:ind w:firstLine="777" w:firstLineChars="243"/>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（1）</w:t>
      </w:r>
      <w:r>
        <w:rPr>
          <w:rFonts w:hint="eastAsia" w:ascii="仿宋_GB2312" w:hAnsi="仿宋_GB2312" w:eastAsia="仿宋_GB2312" w:cs="仿宋_GB2312"/>
          <w:sz w:val="32"/>
          <w:szCs w:val="32"/>
        </w:rPr>
        <w:t>举办高校同意独立学院转设的文件。</w:t>
      </w:r>
    </w:p>
    <w:p>
      <w:pPr>
        <w:spacing w:line="560" w:lineRule="exact"/>
        <w:ind w:firstLine="777" w:firstLineChars="243"/>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（2）</w:t>
      </w:r>
      <w:r>
        <w:rPr>
          <w:rFonts w:hint="eastAsia" w:ascii="仿宋_GB2312" w:hAnsi="仿宋_GB2312" w:eastAsia="仿宋_GB2312" w:cs="仿宋_GB2312"/>
          <w:sz w:val="32"/>
          <w:szCs w:val="32"/>
        </w:rPr>
        <w:t>独立学院董事会同意独立学院转设的决议。</w:t>
      </w:r>
    </w:p>
    <w:p>
      <w:pPr>
        <w:spacing w:line="560" w:lineRule="exact"/>
        <w:ind w:firstLine="617" w:firstLineChars="193"/>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（3）</w:t>
      </w:r>
      <w:r>
        <w:rPr>
          <w:rFonts w:hint="eastAsia" w:ascii="仿宋_GB2312" w:hAnsi="仿宋_GB2312" w:eastAsia="仿宋_GB2312" w:cs="仿宋_GB2312"/>
          <w:sz w:val="32"/>
          <w:szCs w:val="32"/>
        </w:rPr>
        <w:t>举办高校与独立学院出资方关于转设后责权利关系的正式协议。</w:t>
      </w:r>
    </w:p>
    <w:p>
      <w:pPr>
        <w:spacing w:line="560" w:lineRule="exact"/>
        <w:ind w:firstLine="617" w:firstLineChars="19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独立学院举办者资质及出资情况证明材料。教育部确认为独立学院后出资方变更但未履行变更手续的，还需提交:举办高校与原、新出资方关于变更合作协议书;新出资方同意出资参与举办独立学院的股东会、董事会决议;原独立学院董事会同意举办者变更的董事会决议。</w:t>
      </w:r>
    </w:p>
    <w:p>
      <w:pPr>
        <w:spacing w:line="560" w:lineRule="exact"/>
        <w:ind w:firstLine="617" w:firstLineChars="19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（5）校园建设规划图。</w:t>
      </w:r>
    </w:p>
    <w:p>
      <w:pPr>
        <w:spacing w:line="560" w:lineRule="exact"/>
        <w:ind w:firstLine="617" w:firstLineChars="19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（6）校园所有用地、用房产权证(可缩印排版并附明细表)。</w:t>
      </w:r>
    </w:p>
    <w:p>
      <w:pPr>
        <w:spacing w:line="560" w:lineRule="exact"/>
        <w:ind w:firstLine="617" w:firstLineChars="19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（7）专任教师名单(包括年龄、学历学位、职称、任教学科、现工资关系所在单位、来校工作年份等，按职称排序)。</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（8）主要教学科研仪器设备值一览表。</w:t>
      </w:r>
    </w:p>
    <w:p>
      <w:pPr>
        <w:ind w:firstLine="457" w:firstLineChars="143"/>
      </w:pPr>
      <w:r>
        <w:rPr>
          <w:rFonts w:hint="eastAsia" w:ascii="仿宋_GB2312" w:hAnsi="仿宋_GB2312" w:eastAsia="仿宋_GB2312" w:cs="仿宋_GB2312"/>
          <w:sz w:val="32"/>
          <w:szCs w:val="32"/>
        </w:rPr>
        <w:t xml:space="preserve"> （9）还应按照《中华人民共和国民办教育促进法》《营利性民办学校监督管理实施细则》等要求提供有关材料，如举办者资质，学校资产来源、资金数额及有效证明文件，首届学校理事会、董事会或者其他决策机构组成人员名单，学校党组织负责人及组成人员名单，校长、财会人员资格证明文件等。</w:t>
      </w:r>
    </w:p>
    <w:p/>
    <w:p/>
    <w:sectPr>
      <w:footerReference r:id="rId3" w:type="default"/>
      <w:pgSz w:w="11906" w:h="16838"/>
      <w:pgMar w:top="1440" w:right="1617"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9 -</w:t>
    </w:r>
    <w:r>
      <w:rPr>
        <w:rFonts w:ascii="Times New Roman" w:hAnsi="Times New Roman"/>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F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jyt1106-1</dc:creator>
  <cp:lastModifiedBy>朱世森</cp:lastModifiedBy>
  <dcterms:modified xsi:type="dcterms:W3CDTF">2019-04-10T07:03:26Z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